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05" w:rsidRPr="00C85B3B" w:rsidRDefault="00355440" w:rsidP="009E78C4">
      <w:pPr>
        <w:rPr>
          <w:rFonts w:ascii="Arial" w:hAnsi="Arial" w:cs="Arial"/>
          <w:b/>
          <w:sz w:val="24"/>
          <w:szCs w:val="24"/>
        </w:rPr>
      </w:pPr>
      <w:r>
        <w:rPr>
          <w:rFonts w:ascii="Arial" w:hAnsi="Arial" w:cs="Arial"/>
          <w:b/>
          <w:sz w:val="24"/>
          <w:szCs w:val="24"/>
        </w:rPr>
        <w:t>L</w:t>
      </w:r>
      <w:r w:rsidRPr="00C85B3B">
        <w:rPr>
          <w:rFonts w:ascii="Arial" w:hAnsi="Arial" w:cs="Arial"/>
          <w:b/>
          <w:sz w:val="24"/>
          <w:szCs w:val="24"/>
        </w:rPr>
        <w:t xml:space="preserve">ancashire Local </w:t>
      </w:r>
      <w:r>
        <w:rPr>
          <w:rFonts w:ascii="Arial" w:hAnsi="Arial" w:cs="Arial"/>
          <w:b/>
          <w:sz w:val="24"/>
          <w:szCs w:val="24"/>
        </w:rPr>
        <w:t>P</w:t>
      </w:r>
      <w:r w:rsidRPr="00C85B3B">
        <w:rPr>
          <w:rFonts w:ascii="Arial" w:hAnsi="Arial" w:cs="Arial"/>
          <w:b/>
          <w:sz w:val="24"/>
          <w:szCs w:val="24"/>
        </w:rPr>
        <w:t>ension Board – Annual Report 201</w:t>
      </w:r>
      <w:r>
        <w:rPr>
          <w:rFonts w:ascii="Arial" w:hAnsi="Arial" w:cs="Arial"/>
          <w:b/>
          <w:sz w:val="24"/>
          <w:szCs w:val="24"/>
        </w:rPr>
        <w:t>7/18</w:t>
      </w:r>
    </w:p>
    <w:p w:rsidR="00EC12D2" w:rsidRDefault="00355440" w:rsidP="00A143E3">
      <w:pPr>
        <w:spacing w:after="0"/>
        <w:rPr>
          <w:rFonts w:ascii="Arial" w:hAnsi="Arial" w:cs="Arial"/>
          <w:sz w:val="24"/>
          <w:szCs w:val="24"/>
        </w:rPr>
      </w:pPr>
      <w:r>
        <w:rPr>
          <w:rFonts w:ascii="Arial" w:hAnsi="Arial" w:cs="Arial"/>
          <w:sz w:val="24"/>
          <w:szCs w:val="24"/>
        </w:rPr>
        <w:t xml:space="preserve">This is my third </w:t>
      </w:r>
      <w:r w:rsidRPr="00A143E3">
        <w:rPr>
          <w:rFonts w:ascii="Arial" w:hAnsi="Arial" w:cs="Arial"/>
          <w:sz w:val="24"/>
          <w:szCs w:val="24"/>
        </w:rPr>
        <w:t>report as the</w:t>
      </w:r>
      <w:r>
        <w:rPr>
          <w:rFonts w:ascii="Arial" w:hAnsi="Arial" w:cs="Arial"/>
          <w:sz w:val="24"/>
          <w:szCs w:val="24"/>
        </w:rPr>
        <w:t xml:space="preserve"> first </w:t>
      </w:r>
      <w:r w:rsidRPr="00A143E3">
        <w:rPr>
          <w:rFonts w:ascii="Arial" w:hAnsi="Arial" w:cs="Arial"/>
          <w:sz w:val="24"/>
          <w:szCs w:val="24"/>
        </w:rPr>
        <w:t>Independent Chair of the Lancashire Local Pension Board (</w:t>
      </w:r>
      <w:r>
        <w:rPr>
          <w:rFonts w:ascii="Arial" w:hAnsi="Arial" w:cs="Arial"/>
          <w:sz w:val="24"/>
          <w:szCs w:val="24"/>
        </w:rPr>
        <w:t>L</w:t>
      </w:r>
      <w:r w:rsidRPr="00A143E3">
        <w:rPr>
          <w:rFonts w:ascii="Arial" w:hAnsi="Arial" w:cs="Arial"/>
          <w:sz w:val="24"/>
          <w:szCs w:val="24"/>
        </w:rPr>
        <w:t xml:space="preserve">LPB).  </w:t>
      </w:r>
      <w:r>
        <w:rPr>
          <w:rFonts w:ascii="Arial" w:hAnsi="Arial" w:cs="Arial"/>
          <w:sz w:val="24"/>
          <w:szCs w:val="24"/>
        </w:rPr>
        <w:t>Last year</w:t>
      </w:r>
      <w:r w:rsidRPr="00A143E3">
        <w:rPr>
          <w:rFonts w:ascii="Arial" w:hAnsi="Arial" w:cs="Arial"/>
          <w:sz w:val="24"/>
          <w:szCs w:val="24"/>
        </w:rPr>
        <w:t xml:space="preserve"> I commented </w:t>
      </w:r>
      <w:r>
        <w:rPr>
          <w:rFonts w:ascii="Arial" w:hAnsi="Arial" w:cs="Arial"/>
          <w:sz w:val="24"/>
          <w:szCs w:val="24"/>
        </w:rPr>
        <w:t xml:space="preserve">that after two years’ operation </w:t>
      </w:r>
      <w:r w:rsidRPr="00A143E3">
        <w:rPr>
          <w:rFonts w:ascii="Arial" w:hAnsi="Arial" w:cs="Arial"/>
          <w:sz w:val="24"/>
          <w:szCs w:val="24"/>
        </w:rPr>
        <w:t>as a Board we ha</w:t>
      </w:r>
      <w:r>
        <w:rPr>
          <w:rFonts w:ascii="Arial" w:hAnsi="Arial" w:cs="Arial"/>
          <w:sz w:val="24"/>
          <w:szCs w:val="24"/>
        </w:rPr>
        <w:t>d</w:t>
      </w:r>
      <w:r w:rsidRPr="00A143E3">
        <w:rPr>
          <w:rFonts w:ascii="Arial" w:hAnsi="Arial" w:cs="Arial"/>
          <w:sz w:val="24"/>
          <w:szCs w:val="24"/>
        </w:rPr>
        <w:t xml:space="preserve"> a much clearer view of our role</w:t>
      </w:r>
      <w:r>
        <w:rPr>
          <w:rFonts w:ascii="Arial" w:hAnsi="Arial" w:cs="Arial"/>
          <w:sz w:val="24"/>
          <w:szCs w:val="24"/>
        </w:rPr>
        <w:t>,</w:t>
      </w:r>
      <w:r w:rsidRPr="00A143E3">
        <w:rPr>
          <w:rFonts w:ascii="Arial" w:hAnsi="Arial" w:cs="Arial"/>
          <w:sz w:val="24"/>
          <w:szCs w:val="24"/>
        </w:rPr>
        <w:t xml:space="preserve"> and </w:t>
      </w:r>
      <w:r>
        <w:rPr>
          <w:rFonts w:ascii="Arial" w:hAnsi="Arial" w:cs="Arial"/>
          <w:sz w:val="24"/>
          <w:szCs w:val="24"/>
        </w:rPr>
        <w:t xml:space="preserve">how we could both fulfil our duties and </w:t>
      </w:r>
      <w:r w:rsidRPr="00A143E3">
        <w:rPr>
          <w:rFonts w:ascii="Arial" w:hAnsi="Arial" w:cs="Arial"/>
          <w:sz w:val="24"/>
          <w:szCs w:val="24"/>
        </w:rPr>
        <w:t>add value</w:t>
      </w:r>
      <w:r>
        <w:rPr>
          <w:rFonts w:ascii="Arial" w:hAnsi="Arial" w:cs="Arial"/>
          <w:sz w:val="24"/>
          <w:szCs w:val="24"/>
        </w:rPr>
        <w:t>.  I noted three areas we expected to focus on in the interest of all our stakeholders, but particularly the employers and members whom we represent.  The first was to e</w:t>
      </w:r>
      <w:r>
        <w:rPr>
          <w:rFonts w:ascii="Arial" w:hAnsi="Arial" w:cs="Arial"/>
          <w:sz w:val="24"/>
          <w:szCs w:val="24"/>
        </w:rPr>
        <w:t>ncourage appropriate governance procedures and monitoring of the London Pensions Partnership (LPP), the company which the Fund has set up together with the London Pension Fund Authority to manage their assets, liabilities and administration.  We need the a</w:t>
      </w:r>
      <w:r>
        <w:rPr>
          <w:rFonts w:ascii="Arial" w:hAnsi="Arial" w:cs="Arial"/>
          <w:sz w:val="24"/>
          <w:szCs w:val="24"/>
        </w:rPr>
        <w:t>ssurance that it is at all times acting in the Fund’s interest.  Secondly, we asked the Pension Fund Committee (PFC) to provide us with comfort that the major changes LPP were proposing to the administration function would not involve any risk to the servi</w:t>
      </w:r>
      <w:r>
        <w:rPr>
          <w:rFonts w:ascii="Arial" w:hAnsi="Arial" w:cs="Arial"/>
          <w:sz w:val="24"/>
          <w:szCs w:val="24"/>
        </w:rPr>
        <w:t>ce.  Finally, we would continue to look at how to improve engagement with employers and members.</w:t>
      </w:r>
    </w:p>
    <w:p w:rsidR="00EC12D2" w:rsidRDefault="00355440" w:rsidP="00A143E3">
      <w:pPr>
        <w:spacing w:after="0"/>
        <w:rPr>
          <w:rFonts w:ascii="Arial" w:hAnsi="Arial" w:cs="Arial"/>
          <w:sz w:val="24"/>
          <w:szCs w:val="24"/>
        </w:rPr>
      </w:pPr>
    </w:p>
    <w:p w:rsidR="000B30D3" w:rsidRDefault="00355440" w:rsidP="000B30D3">
      <w:pPr>
        <w:spacing w:after="0"/>
        <w:rPr>
          <w:rFonts w:ascii="Arial" w:hAnsi="Arial" w:cs="Arial"/>
          <w:sz w:val="24"/>
          <w:szCs w:val="24"/>
        </w:rPr>
      </w:pPr>
      <w:r>
        <w:rPr>
          <w:rFonts w:ascii="Arial" w:hAnsi="Arial" w:cs="Arial"/>
          <w:sz w:val="24"/>
          <w:szCs w:val="24"/>
        </w:rPr>
        <w:t>In this report, I will start by reminding readers of the mechanics of the L</w:t>
      </w:r>
      <w:bookmarkStart w:id="0" w:name="_GoBack"/>
      <w:bookmarkEnd w:id="0"/>
      <w:r>
        <w:rPr>
          <w:rFonts w:ascii="Arial" w:hAnsi="Arial" w:cs="Arial"/>
          <w:sz w:val="24"/>
          <w:szCs w:val="24"/>
        </w:rPr>
        <w:t xml:space="preserve">LPB, then explain how we have fulfilled our legal duty of scrutiny, before going on </w:t>
      </w:r>
      <w:r>
        <w:rPr>
          <w:rFonts w:ascii="Arial" w:hAnsi="Arial" w:cs="Arial"/>
          <w:sz w:val="24"/>
          <w:szCs w:val="24"/>
        </w:rPr>
        <w:t>to comment on each of the three areas above in more detail.</w:t>
      </w:r>
    </w:p>
    <w:p w:rsidR="00EC12D2" w:rsidRDefault="00355440" w:rsidP="00A143E3">
      <w:pPr>
        <w:spacing w:after="0"/>
        <w:rPr>
          <w:rFonts w:ascii="Arial" w:hAnsi="Arial" w:cs="Arial"/>
          <w:sz w:val="24"/>
          <w:szCs w:val="24"/>
        </w:rPr>
      </w:pPr>
    </w:p>
    <w:p w:rsidR="00981DD9" w:rsidRPr="006A5E1C" w:rsidRDefault="00355440" w:rsidP="00A143E3">
      <w:pPr>
        <w:spacing w:after="0"/>
        <w:rPr>
          <w:rFonts w:ascii="Arial" w:hAnsi="Arial" w:cs="Arial"/>
          <w:b/>
          <w:sz w:val="24"/>
          <w:szCs w:val="24"/>
        </w:rPr>
      </w:pPr>
      <w:r w:rsidRPr="006A5E1C">
        <w:rPr>
          <w:rFonts w:ascii="Arial" w:hAnsi="Arial" w:cs="Arial"/>
          <w:b/>
          <w:sz w:val="24"/>
          <w:szCs w:val="24"/>
        </w:rPr>
        <w:t>Membership of the Pension Board</w:t>
      </w:r>
    </w:p>
    <w:p w:rsidR="00981DD9" w:rsidRDefault="00355440" w:rsidP="00A143E3">
      <w:pPr>
        <w:spacing w:after="0"/>
        <w:rPr>
          <w:rFonts w:ascii="Arial" w:hAnsi="Arial" w:cs="Arial"/>
          <w:sz w:val="24"/>
          <w:szCs w:val="24"/>
        </w:rPr>
      </w:pPr>
    </w:p>
    <w:p w:rsidR="00D87B2C" w:rsidRDefault="00355440" w:rsidP="00A143E3">
      <w:pPr>
        <w:spacing w:after="0"/>
        <w:rPr>
          <w:rFonts w:ascii="Arial" w:hAnsi="Arial" w:cs="Arial"/>
          <w:sz w:val="24"/>
          <w:szCs w:val="24"/>
        </w:rPr>
      </w:pPr>
      <w:r w:rsidRPr="00A143E3">
        <w:rPr>
          <w:rFonts w:ascii="Arial" w:hAnsi="Arial" w:cs="Arial"/>
          <w:sz w:val="24"/>
          <w:szCs w:val="24"/>
        </w:rPr>
        <w:t xml:space="preserve">The </w:t>
      </w:r>
      <w:r>
        <w:rPr>
          <w:rFonts w:ascii="Arial" w:hAnsi="Arial" w:cs="Arial"/>
          <w:sz w:val="24"/>
          <w:szCs w:val="24"/>
        </w:rPr>
        <w:t>LPB</w:t>
      </w:r>
      <w:r w:rsidRPr="00A143E3">
        <w:rPr>
          <w:rFonts w:ascii="Arial" w:hAnsi="Arial" w:cs="Arial"/>
          <w:sz w:val="24"/>
          <w:szCs w:val="24"/>
        </w:rPr>
        <w:t xml:space="preserve"> has nine members, four Employer representatives who were chosen to be representative of the Fund’s </w:t>
      </w:r>
      <w:r>
        <w:rPr>
          <w:rFonts w:ascii="Arial" w:hAnsi="Arial" w:cs="Arial"/>
          <w:sz w:val="24"/>
          <w:szCs w:val="24"/>
        </w:rPr>
        <w:t>e</w:t>
      </w:r>
      <w:r w:rsidRPr="00A143E3">
        <w:rPr>
          <w:rFonts w:ascii="Arial" w:hAnsi="Arial" w:cs="Arial"/>
          <w:sz w:val="24"/>
          <w:szCs w:val="24"/>
        </w:rPr>
        <w:t xml:space="preserve">mployers, four </w:t>
      </w:r>
      <w:r>
        <w:rPr>
          <w:rFonts w:ascii="Arial" w:hAnsi="Arial" w:cs="Arial"/>
          <w:sz w:val="24"/>
          <w:szCs w:val="24"/>
        </w:rPr>
        <w:t xml:space="preserve">Scheme </w:t>
      </w:r>
      <w:r w:rsidRPr="00A143E3">
        <w:rPr>
          <w:rFonts w:ascii="Arial" w:hAnsi="Arial" w:cs="Arial"/>
          <w:sz w:val="24"/>
          <w:szCs w:val="24"/>
        </w:rPr>
        <w:t xml:space="preserve">Member representatives </w:t>
      </w:r>
      <w:r>
        <w:rPr>
          <w:rFonts w:ascii="Arial" w:hAnsi="Arial" w:cs="Arial"/>
          <w:sz w:val="24"/>
          <w:szCs w:val="24"/>
        </w:rPr>
        <w:t xml:space="preserve">originally </w:t>
      </w:r>
      <w:r w:rsidRPr="00A143E3">
        <w:rPr>
          <w:rFonts w:ascii="Arial" w:hAnsi="Arial" w:cs="Arial"/>
          <w:sz w:val="24"/>
          <w:szCs w:val="24"/>
        </w:rPr>
        <w:t xml:space="preserve">elected in a public election and myself as the Independent Chair.  </w:t>
      </w:r>
      <w:r>
        <w:rPr>
          <w:rFonts w:ascii="Arial" w:hAnsi="Arial" w:cs="Arial"/>
          <w:sz w:val="24"/>
          <w:szCs w:val="24"/>
        </w:rPr>
        <w:t xml:space="preserve">During the year three members of the </w:t>
      </w:r>
      <w:r>
        <w:rPr>
          <w:rFonts w:ascii="Arial" w:hAnsi="Arial" w:cs="Arial"/>
          <w:sz w:val="24"/>
          <w:szCs w:val="24"/>
        </w:rPr>
        <w:t>L</w:t>
      </w:r>
      <w:r>
        <w:rPr>
          <w:rFonts w:ascii="Arial" w:hAnsi="Arial" w:cs="Arial"/>
          <w:sz w:val="24"/>
          <w:szCs w:val="24"/>
        </w:rPr>
        <w:t>L</w:t>
      </w:r>
      <w:r>
        <w:rPr>
          <w:rFonts w:ascii="Arial" w:hAnsi="Arial" w:cs="Arial"/>
          <w:sz w:val="24"/>
          <w:szCs w:val="24"/>
        </w:rPr>
        <w:t>PB resigned</w:t>
      </w:r>
      <w:r>
        <w:rPr>
          <w:rFonts w:ascii="Arial" w:hAnsi="Arial" w:cs="Arial"/>
          <w:sz w:val="24"/>
          <w:szCs w:val="24"/>
        </w:rPr>
        <w:t xml:space="preserve"> and I would like to thank them all for their service during the first three years operation of the Board.  The two employer rep</w:t>
      </w:r>
      <w:r>
        <w:rPr>
          <w:rFonts w:ascii="Arial" w:hAnsi="Arial" w:cs="Arial"/>
          <w:sz w:val="24"/>
          <w:szCs w:val="24"/>
        </w:rPr>
        <w:t xml:space="preserve">resentatives have been replaced by </w:t>
      </w:r>
      <w:r>
        <w:rPr>
          <w:rFonts w:ascii="Arial" w:hAnsi="Arial" w:cs="Arial"/>
          <w:sz w:val="24"/>
          <w:szCs w:val="24"/>
        </w:rPr>
        <w:t xml:space="preserve">County Councillor </w:t>
      </w:r>
      <w:r>
        <w:rPr>
          <w:rFonts w:ascii="Arial" w:hAnsi="Arial" w:cs="Arial"/>
          <w:sz w:val="24"/>
          <w:szCs w:val="24"/>
        </w:rPr>
        <w:t xml:space="preserve">Christian Wakeford and Tony Pounder, and I welcome them both to the Board.  </w:t>
      </w:r>
    </w:p>
    <w:p w:rsidR="00D87B2C" w:rsidRDefault="00355440" w:rsidP="00A143E3">
      <w:pPr>
        <w:spacing w:after="0"/>
        <w:rPr>
          <w:rFonts w:ascii="Arial" w:hAnsi="Arial" w:cs="Arial"/>
          <w:sz w:val="24"/>
          <w:szCs w:val="24"/>
        </w:rPr>
      </w:pPr>
    </w:p>
    <w:p w:rsidR="00D87B2C" w:rsidRDefault="00355440" w:rsidP="00A143E3">
      <w:pPr>
        <w:spacing w:after="0"/>
        <w:rPr>
          <w:rFonts w:ascii="Arial" w:hAnsi="Arial" w:cs="Arial"/>
          <w:sz w:val="24"/>
          <w:szCs w:val="24"/>
        </w:rPr>
      </w:pPr>
      <w:r>
        <w:rPr>
          <w:rFonts w:ascii="Arial" w:hAnsi="Arial" w:cs="Arial"/>
          <w:sz w:val="24"/>
          <w:szCs w:val="24"/>
        </w:rPr>
        <w:t xml:space="preserve">The vacant scheme member representative position was advertised by email and on the Your </w:t>
      </w:r>
      <w:r>
        <w:rPr>
          <w:rFonts w:ascii="Arial" w:hAnsi="Arial" w:cs="Arial"/>
          <w:sz w:val="24"/>
          <w:szCs w:val="24"/>
        </w:rPr>
        <w:t>P</w:t>
      </w:r>
      <w:r>
        <w:rPr>
          <w:rFonts w:ascii="Arial" w:hAnsi="Arial" w:cs="Arial"/>
          <w:sz w:val="24"/>
          <w:szCs w:val="24"/>
        </w:rPr>
        <w:t>ension Service website in March 201</w:t>
      </w:r>
      <w:r>
        <w:rPr>
          <w:rFonts w:ascii="Arial" w:hAnsi="Arial" w:cs="Arial"/>
          <w:sz w:val="24"/>
          <w:szCs w:val="24"/>
        </w:rPr>
        <w:t xml:space="preserve">8.  When the </w:t>
      </w:r>
      <w:r>
        <w:rPr>
          <w:rFonts w:ascii="Arial" w:hAnsi="Arial" w:cs="Arial"/>
          <w:sz w:val="24"/>
          <w:szCs w:val="24"/>
        </w:rPr>
        <w:t>L</w:t>
      </w:r>
      <w:r>
        <w:rPr>
          <w:rFonts w:ascii="Arial" w:hAnsi="Arial" w:cs="Arial"/>
          <w:sz w:val="24"/>
          <w:szCs w:val="24"/>
        </w:rPr>
        <w:t>LPB was originally established, we held an election to fill the scheme member vacancies but this time we took the view that this was not a cost-effective way of filling a single vacancy, and that the categorisation of member representatives i</w:t>
      </w:r>
      <w:r>
        <w:rPr>
          <w:rFonts w:ascii="Arial" w:hAnsi="Arial" w:cs="Arial"/>
          <w:sz w:val="24"/>
          <w:szCs w:val="24"/>
        </w:rPr>
        <w:t>nto active, deferred and pensioner classes was too restrictive.  The Terms of Reference of the Board have therefore been amended to refer to scheme members who will represent all elements of the Fund membership, giving us more flexibility and making it eas</w:t>
      </w:r>
      <w:r>
        <w:rPr>
          <w:rFonts w:ascii="Arial" w:hAnsi="Arial" w:cs="Arial"/>
          <w:sz w:val="24"/>
          <w:szCs w:val="24"/>
        </w:rPr>
        <w:t>ier to attract/recruit candidates.  Since the year end, we have held interviews and a suitable candidate has been selected from a strong field and will be formally appointed in due course.</w:t>
      </w:r>
    </w:p>
    <w:p w:rsidR="00786FC0" w:rsidRDefault="00355440" w:rsidP="00A143E3">
      <w:pPr>
        <w:spacing w:after="0"/>
        <w:rPr>
          <w:rFonts w:ascii="Arial" w:hAnsi="Arial" w:cs="Arial"/>
          <w:sz w:val="24"/>
          <w:szCs w:val="24"/>
        </w:rPr>
      </w:pPr>
    </w:p>
    <w:p w:rsidR="00981DD9" w:rsidRDefault="00355440" w:rsidP="00A143E3">
      <w:pPr>
        <w:spacing w:after="0"/>
        <w:rPr>
          <w:rFonts w:ascii="Arial" w:hAnsi="Arial" w:cs="Arial"/>
          <w:sz w:val="24"/>
          <w:szCs w:val="24"/>
        </w:rPr>
      </w:pPr>
      <w:r>
        <w:rPr>
          <w:rFonts w:ascii="Arial" w:hAnsi="Arial" w:cs="Arial"/>
          <w:sz w:val="24"/>
          <w:szCs w:val="24"/>
        </w:rPr>
        <w:t>The L</w:t>
      </w:r>
      <w:r>
        <w:rPr>
          <w:rFonts w:ascii="Arial" w:hAnsi="Arial" w:cs="Arial"/>
          <w:sz w:val="24"/>
          <w:szCs w:val="24"/>
        </w:rPr>
        <w:t xml:space="preserve">LPB meets four times a year and we also create Working Groups </w:t>
      </w:r>
      <w:r>
        <w:rPr>
          <w:rFonts w:ascii="Arial" w:hAnsi="Arial" w:cs="Arial"/>
          <w:sz w:val="24"/>
          <w:szCs w:val="24"/>
        </w:rPr>
        <w:t xml:space="preserve">if we feel they are needed.  In my capacity as Chair I am also on occasion invited to attend </w:t>
      </w:r>
      <w:r>
        <w:rPr>
          <w:rFonts w:ascii="Arial" w:hAnsi="Arial" w:cs="Arial"/>
          <w:sz w:val="24"/>
          <w:szCs w:val="24"/>
        </w:rPr>
        <w:lastRenderedPageBreak/>
        <w:t>PFC meetings, to present reports and advise the Committee on the work of the Board and I have attended three out of the of the four Committees held during the year</w:t>
      </w:r>
      <w:r>
        <w:rPr>
          <w:rFonts w:ascii="Arial" w:hAnsi="Arial" w:cs="Arial"/>
          <w:sz w:val="24"/>
          <w:szCs w:val="24"/>
        </w:rPr>
        <w:t xml:space="preserve">. </w:t>
      </w:r>
    </w:p>
    <w:p w:rsidR="00981DD9" w:rsidRDefault="00355440" w:rsidP="00A143E3">
      <w:pPr>
        <w:spacing w:after="0"/>
        <w:rPr>
          <w:rFonts w:ascii="Arial" w:hAnsi="Arial" w:cs="Arial"/>
          <w:sz w:val="24"/>
          <w:szCs w:val="24"/>
        </w:rPr>
      </w:pPr>
    </w:p>
    <w:p w:rsidR="00981DD9" w:rsidRPr="006A5E1C" w:rsidRDefault="00355440" w:rsidP="00A143E3">
      <w:pPr>
        <w:spacing w:after="0"/>
        <w:rPr>
          <w:rFonts w:ascii="Arial" w:hAnsi="Arial" w:cs="Arial"/>
          <w:b/>
          <w:sz w:val="24"/>
          <w:szCs w:val="24"/>
        </w:rPr>
      </w:pPr>
      <w:r w:rsidRPr="006A5E1C">
        <w:rPr>
          <w:rFonts w:ascii="Arial" w:hAnsi="Arial" w:cs="Arial"/>
          <w:b/>
          <w:sz w:val="24"/>
          <w:szCs w:val="24"/>
        </w:rPr>
        <w:t>Attendance of Board members at meetings of the Pension Board</w:t>
      </w:r>
    </w:p>
    <w:p w:rsidR="00981DD9" w:rsidRDefault="00355440" w:rsidP="00A143E3">
      <w:pPr>
        <w:spacing w:after="0"/>
        <w:rPr>
          <w:rFonts w:ascii="Arial" w:hAnsi="Arial" w:cs="Arial"/>
          <w:sz w:val="24"/>
          <w:szCs w:val="24"/>
        </w:rPr>
      </w:pPr>
    </w:p>
    <w:p w:rsidR="005C502A" w:rsidRDefault="00355440" w:rsidP="00A143E3">
      <w:pPr>
        <w:spacing w:after="0"/>
        <w:rPr>
          <w:rFonts w:ascii="Arial" w:hAnsi="Arial" w:cs="Arial"/>
          <w:sz w:val="24"/>
          <w:szCs w:val="24"/>
        </w:rPr>
      </w:pPr>
      <w:r>
        <w:rPr>
          <w:rFonts w:ascii="Arial" w:hAnsi="Arial" w:cs="Arial"/>
          <w:sz w:val="24"/>
          <w:szCs w:val="24"/>
        </w:rPr>
        <w:t xml:space="preserve">Details of individual members' attendance at Board meetings together with changes to the membership of the Board are set out in Annex 'A' to this report. </w:t>
      </w:r>
    </w:p>
    <w:p w:rsidR="00D15A23" w:rsidRDefault="00355440" w:rsidP="00A143E3">
      <w:pPr>
        <w:spacing w:after="0"/>
        <w:rPr>
          <w:rFonts w:ascii="Arial" w:hAnsi="Arial" w:cs="Arial"/>
          <w:sz w:val="24"/>
          <w:szCs w:val="24"/>
        </w:rPr>
      </w:pPr>
    </w:p>
    <w:p w:rsidR="00D15A23" w:rsidRPr="005C502A" w:rsidRDefault="00355440" w:rsidP="00A143E3">
      <w:pPr>
        <w:spacing w:after="0"/>
        <w:rPr>
          <w:rFonts w:ascii="Arial" w:hAnsi="Arial" w:cs="Arial"/>
          <w:b/>
          <w:sz w:val="24"/>
          <w:szCs w:val="24"/>
        </w:rPr>
      </w:pPr>
      <w:r w:rsidRPr="005C502A">
        <w:rPr>
          <w:rFonts w:ascii="Arial" w:hAnsi="Arial" w:cs="Arial"/>
          <w:b/>
          <w:sz w:val="24"/>
          <w:szCs w:val="24"/>
        </w:rPr>
        <w:t>Training</w:t>
      </w:r>
    </w:p>
    <w:p w:rsidR="00D15A23" w:rsidRDefault="00355440" w:rsidP="00A143E3">
      <w:pPr>
        <w:spacing w:after="0"/>
        <w:rPr>
          <w:rFonts w:ascii="Arial" w:hAnsi="Arial" w:cs="Arial"/>
          <w:sz w:val="24"/>
          <w:szCs w:val="24"/>
        </w:rPr>
      </w:pPr>
    </w:p>
    <w:p w:rsidR="004132C5" w:rsidRDefault="00355440" w:rsidP="004132C5">
      <w:pPr>
        <w:spacing w:after="0"/>
        <w:rPr>
          <w:rFonts w:ascii="Arial" w:hAnsi="Arial" w:cs="Arial"/>
          <w:sz w:val="24"/>
          <w:szCs w:val="24"/>
        </w:rPr>
      </w:pPr>
      <w:r w:rsidRPr="00A143E3">
        <w:rPr>
          <w:rFonts w:ascii="Arial" w:hAnsi="Arial" w:cs="Arial"/>
          <w:sz w:val="24"/>
          <w:szCs w:val="24"/>
        </w:rPr>
        <w:t xml:space="preserve">The Board has a small </w:t>
      </w:r>
      <w:r w:rsidRPr="00A143E3">
        <w:rPr>
          <w:rFonts w:ascii="Arial" w:hAnsi="Arial" w:cs="Arial"/>
          <w:sz w:val="24"/>
          <w:szCs w:val="24"/>
        </w:rPr>
        <w:t>internal budget, which is used primarily to defray the cost of Members’ attendance at training events or conferences.  During the year</w:t>
      </w:r>
      <w:r>
        <w:rPr>
          <w:rFonts w:ascii="Arial" w:hAnsi="Arial" w:cs="Arial"/>
          <w:sz w:val="24"/>
          <w:szCs w:val="24"/>
        </w:rPr>
        <w:t xml:space="preserve"> £</w:t>
      </w:r>
      <w:r w:rsidRPr="006A5E1C">
        <w:rPr>
          <w:rFonts w:ascii="Arial" w:hAnsi="Arial" w:cs="Arial"/>
          <w:sz w:val="24"/>
          <w:szCs w:val="24"/>
        </w:rPr>
        <w:t>12,518.33</w:t>
      </w:r>
      <w:r>
        <w:rPr>
          <w:rFonts w:ascii="Arial" w:hAnsi="Arial" w:cs="Arial"/>
        </w:rPr>
        <w:t xml:space="preserve"> was</w:t>
      </w:r>
      <w:r w:rsidRPr="003141AD">
        <w:rPr>
          <w:rFonts w:ascii="Arial" w:hAnsi="Arial" w:cs="Arial"/>
          <w:sz w:val="24"/>
          <w:szCs w:val="24"/>
        </w:rPr>
        <w:t xml:space="preserve"> spent</w:t>
      </w:r>
      <w:r>
        <w:rPr>
          <w:rFonts w:ascii="Arial" w:hAnsi="Arial" w:cs="Arial"/>
          <w:sz w:val="24"/>
          <w:szCs w:val="24"/>
        </w:rPr>
        <w:t xml:space="preserve"> on the costs of running the Board and training.</w:t>
      </w:r>
    </w:p>
    <w:p w:rsidR="00786FC0" w:rsidRDefault="00355440" w:rsidP="00A143E3">
      <w:pPr>
        <w:spacing w:after="0"/>
        <w:rPr>
          <w:rFonts w:ascii="Arial" w:hAnsi="Arial" w:cs="Arial"/>
          <w:sz w:val="24"/>
          <w:szCs w:val="24"/>
        </w:rPr>
      </w:pPr>
    </w:p>
    <w:p w:rsidR="004132C5" w:rsidRDefault="00355440" w:rsidP="004132C5">
      <w:pPr>
        <w:spacing w:after="0"/>
        <w:rPr>
          <w:rFonts w:ascii="Arial" w:hAnsi="Arial" w:cs="Arial"/>
          <w:sz w:val="24"/>
          <w:szCs w:val="24"/>
        </w:rPr>
      </w:pPr>
      <w:r>
        <w:rPr>
          <w:rFonts w:ascii="Arial" w:hAnsi="Arial" w:cs="Arial"/>
          <w:sz w:val="24"/>
          <w:szCs w:val="24"/>
        </w:rPr>
        <w:t xml:space="preserve">The </w:t>
      </w:r>
      <w:r>
        <w:rPr>
          <w:rFonts w:ascii="Arial" w:hAnsi="Arial" w:cs="Arial"/>
          <w:sz w:val="24"/>
          <w:szCs w:val="24"/>
        </w:rPr>
        <w:t>L</w:t>
      </w:r>
      <w:r>
        <w:rPr>
          <w:rFonts w:ascii="Arial" w:hAnsi="Arial" w:cs="Arial"/>
          <w:sz w:val="24"/>
          <w:szCs w:val="24"/>
        </w:rPr>
        <w:t>LPB is under a legal obligation to maintain it</w:t>
      </w:r>
      <w:r>
        <w:rPr>
          <w:rFonts w:ascii="Arial" w:hAnsi="Arial" w:cs="Arial"/>
          <w:sz w:val="24"/>
          <w:szCs w:val="24"/>
        </w:rPr>
        <w:t>s levels of knowledge and understanding through regular training.  Members are actively encouraged to join internal training sessions held jointly with the members of the Pension Fund Committee.  During the year, internal training workshops were held on th</w:t>
      </w:r>
      <w:r>
        <w:rPr>
          <w:rFonts w:ascii="Arial" w:hAnsi="Arial" w:cs="Arial"/>
          <w:sz w:val="24"/>
          <w:szCs w:val="24"/>
        </w:rPr>
        <w:t>e risk register, LPP administration operations, Investment Strategy and GDPR (the new data protection regulations).  Members are also notified of and encouraged to attend external training conferences/event to extend their knowledge and meet other LPB memb</w:t>
      </w:r>
      <w:r>
        <w:rPr>
          <w:rFonts w:ascii="Arial" w:hAnsi="Arial" w:cs="Arial"/>
          <w:sz w:val="24"/>
          <w:szCs w:val="24"/>
        </w:rPr>
        <w:t>ers.</w:t>
      </w:r>
    </w:p>
    <w:p w:rsidR="00C20717" w:rsidRDefault="00355440" w:rsidP="004132C5">
      <w:pPr>
        <w:spacing w:after="0"/>
        <w:rPr>
          <w:rFonts w:ascii="Arial" w:hAnsi="Arial" w:cs="Arial"/>
          <w:sz w:val="24"/>
          <w:szCs w:val="24"/>
        </w:rPr>
      </w:pPr>
    </w:p>
    <w:p w:rsidR="0097751E" w:rsidRDefault="00355440" w:rsidP="0097751E">
      <w:pPr>
        <w:spacing w:after="0"/>
        <w:rPr>
          <w:rFonts w:ascii="Arial" w:hAnsi="Arial" w:cs="Arial"/>
          <w:sz w:val="24"/>
          <w:szCs w:val="24"/>
        </w:rPr>
      </w:pPr>
      <w:r>
        <w:rPr>
          <w:rFonts w:ascii="Arial" w:hAnsi="Arial" w:cs="Arial"/>
          <w:sz w:val="24"/>
          <w:szCs w:val="24"/>
        </w:rPr>
        <w:t xml:space="preserve">In addition we conduct a gap analysis of training needs once a year as part of our own annual appraisal, which becomes an agenda item at our next meeting.  </w:t>
      </w:r>
      <w:r w:rsidRPr="009E6FCA">
        <w:rPr>
          <w:rFonts w:ascii="Arial" w:hAnsi="Arial" w:cs="Arial"/>
          <w:sz w:val="24"/>
          <w:szCs w:val="24"/>
        </w:rPr>
        <w:t>The table below shows the number of training events each Board member attended during the year</w:t>
      </w:r>
      <w:r w:rsidRPr="009E6FCA">
        <w:rPr>
          <w:rFonts w:ascii="Arial" w:hAnsi="Arial" w:cs="Arial"/>
          <w:sz w:val="24"/>
          <w:szCs w:val="24"/>
        </w:rPr>
        <w:t>.</w:t>
      </w:r>
    </w:p>
    <w:p w:rsidR="00182CD3" w:rsidRPr="009E6FCA" w:rsidRDefault="00355440" w:rsidP="0097751E">
      <w:pPr>
        <w:spacing w:after="0"/>
        <w:rPr>
          <w:rFonts w:ascii="Arial" w:hAnsi="Arial" w:cs="Arial"/>
          <w:sz w:val="24"/>
          <w:szCs w:val="24"/>
        </w:rPr>
      </w:pPr>
    </w:p>
    <w:tbl>
      <w:tblPr>
        <w:tblStyle w:val="TableGrid"/>
        <w:tblW w:w="7484" w:type="dxa"/>
        <w:tblInd w:w="137" w:type="dxa"/>
        <w:tblLook w:val="04A0" w:firstRow="1" w:lastRow="0" w:firstColumn="1" w:lastColumn="0" w:noHBand="0" w:noVBand="1"/>
      </w:tblPr>
      <w:tblGrid>
        <w:gridCol w:w="3686"/>
        <w:gridCol w:w="1842"/>
        <w:gridCol w:w="1956"/>
      </w:tblGrid>
      <w:tr w:rsidR="006A2AEE" w:rsidTr="009477C6">
        <w:tc>
          <w:tcPr>
            <w:tcW w:w="3686" w:type="dxa"/>
          </w:tcPr>
          <w:p w:rsidR="00182CD3" w:rsidRPr="004D7973" w:rsidRDefault="00355440" w:rsidP="009477C6">
            <w:pPr>
              <w:jc w:val="center"/>
              <w:rPr>
                <w:rFonts w:ascii="Arial" w:hAnsi="Arial" w:cs="Arial"/>
                <w:b/>
              </w:rPr>
            </w:pPr>
            <w:r w:rsidRPr="004D7973">
              <w:rPr>
                <w:rFonts w:ascii="Arial" w:hAnsi="Arial" w:cs="Arial"/>
                <w:b/>
              </w:rPr>
              <w:t>Name</w:t>
            </w:r>
          </w:p>
          <w:p w:rsidR="00182CD3" w:rsidRPr="004D7973" w:rsidRDefault="00355440" w:rsidP="009477C6">
            <w:pPr>
              <w:jc w:val="center"/>
              <w:rPr>
                <w:rFonts w:ascii="Arial" w:hAnsi="Arial" w:cs="Arial"/>
                <w:b/>
              </w:rPr>
            </w:pPr>
          </w:p>
        </w:tc>
        <w:tc>
          <w:tcPr>
            <w:tcW w:w="1842" w:type="dxa"/>
          </w:tcPr>
          <w:p w:rsidR="00182CD3" w:rsidRPr="004D7973" w:rsidRDefault="00355440" w:rsidP="009477C6">
            <w:pPr>
              <w:jc w:val="center"/>
              <w:rPr>
                <w:rFonts w:ascii="Arial" w:hAnsi="Arial" w:cs="Arial"/>
                <w:b/>
              </w:rPr>
            </w:pPr>
            <w:r w:rsidRPr="004D7973">
              <w:rPr>
                <w:rFonts w:ascii="Arial" w:hAnsi="Arial" w:cs="Arial"/>
                <w:b/>
              </w:rPr>
              <w:t>Internal event attended</w:t>
            </w:r>
          </w:p>
        </w:tc>
        <w:tc>
          <w:tcPr>
            <w:tcW w:w="1956" w:type="dxa"/>
          </w:tcPr>
          <w:p w:rsidR="00182CD3" w:rsidRPr="004D7973" w:rsidRDefault="00355440" w:rsidP="009477C6">
            <w:pPr>
              <w:jc w:val="center"/>
              <w:rPr>
                <w:rFonts w:ascii="Arial" w:hAnsi="Arial" w:cs="Arial"/>
                <w:b/>
              </w:rPr>
            </w:pPr>
            <w:r w:rsidRPr="004D7973">
              <w:rPr>
                <w:rFonts w:ascii="Arial" w:hAnsi="Arial" w:cs="Arial"/>
                <w:b/>
              </w:rPr>
              <w:t>External events attended</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W Bourne</w:t>
            </w:r>
          </w:p>
        </w:tc>
        <w:tc>
          <w:tcPr>
            <w:tcW w:w="1842" w:type="dxa"/>
          </w:tcPr>
          <w:p w:rsidR="00182CD3" w:rsidRPr="004D7973" w:rsidRDefault="00355440" w:rsidP="009477C6">
            <w:pPr>
              <w:jc w:val="center"/>
              <w:rPr>
                <w:rFonts w:ascii="Arial" w:hAnsi="Arial" w:cs="Arial"/>
              </w:rPr>
            </w:pPr>
            <w:r>
              <w:rPr>
                <w:rFonts w:ascii="Arial" w:hAnsi="Arial" w:cs="Arial"/>
              </w:rPr>
              <w:t>1</w:t>
            </w:r>
          </w:p>
        </w:tc>
        <w:tc>
          <w:tcPr>
            <w:tcW w:w="1956" w:type="dxa"/>
          </w:tcPr>
          <w:p w:rsidR="00182CD3" w:rsidRPr="004D7973" w:rsidRDefault="00355440" w:rsidP="009477C6">
            <w:pPr>
              <w:jc w:val="center"/>
              <w:rPr>
                <w:rFonts w:ascii="Arial" w:hAnsi="Arial" w:cs="Arial"/>
              </w:rPr>
            </w:pPr>
            <w:r>
              <w:rPr>
                <w:rFonts w:ascii="Arial" w:hAnsi="Arial" w:cs="Arial"/>
              </w:rPr>
              <w:t>3</w:t>
            </w:r>
          </w:p>
        </w:tc>
      </w:tr>
      <w:tr w:rsidR="006A2AEE" w:rsidTr="009477C6">
        <w:tc>
          <w:tcPr>
            <w:tcW w:w="3686" w:type="dxa"/>
          </w:tcPr>
          <w:p w:rsidR="00182CD3" w:rsidRPr="004D7973" w:rsidRDefault="00355440" w:rsidP="009477C6">
            <w:pPr>
              <w:rPr>
                <w:rFonts w:ascii="Arial" w:hAnsi="Arial" w:cs="Arial"/>
              </w:rPr>
            </w:pPr>
            <w:r w:rsidRPr="00511583">
              <w:rPr>
                <w:rFonts w:ascii="Arial" w:hAnsi="Arial" w:cs="Arial"/>
                <w:sz w:val="24"/>
                <w:szCs w:val="24"/>
              </w:rPr>
              <w:t>County Councillor C Wakeford</w:t>
            </w:r>
          </w:p>
        </w:tc>
        <w:tc>
          <w:tcPr>
            <w:tcW w:w="1842" w:type="dxa"/>
          </w:tcPr>
          <w:p w:rsidR="00182CD3" w:rsidRPr="004D7973" w:rsidRDefault="00355440" w:rsidP="009477C6">
            <w:pPr>
              <w:jc w:val="center"/>
              <w:rPr>
                <w:rFonts w:ascii="Arial" w:hAnsi="Arial" w:cs="Arial"/>
              </w:rPr>
            </w:pPr>
            <w:r>
              <w:rPr>
                <w:rFonts w:ascii="Arial" w:hAnsi="Arial" w:cs="Arial"/>
              </w:rPr>
              <w:t>1</w:t>
            </w:r>
          </w:p>
        </w:tc>
        <w:tc>
          <w:tcPr>
            <w:tcW w:w="1956" w:type="dxa"/>
          </w:tcPr>
          <w:p w:rsidR="00182CD3" w:rsidRPr="004D7973" w:rsidRDefault="00355440" w:rsidP="009477C6">
            <w:pPr>
              <w:jc w:val="center"/>
              <w:rPr>
                <w:rFonts w:ascii="Arial" w:hAnsi="Arial" w:cs="Arial"/>
              </w:rPr>
            </w:pPr>
            <w:r>
              <w:rPr>
                <w:rFonts w:ascii="Arial" w:hAnsi="Arial" w:cs="Arial"/>
              </w:rPr>
              <w:t>0</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S Browne</w:t>
            </w:r>
          </w:p>
        </w:tc>
        <w:tc>
          <w:tcPr>
            <w:tcW w:w="1842" w:type="dxa"/>
          </w:tcPr>
          <w:p w:rsidR="00182CD3" w:rsidRPr="004D7973" w:rsidRDefault="00355440" w:rsidP="009477C6">
            <w:pPr>
              <w:jc w:val="center"/>
              <w:rPr>
                <w:rFonts w:ascii="Arial" w:hAnsi="Arial" w:cs="Arial"/>
              </w:rPr>
            </w:pPr>
            <w:r>
              <w:rPr>
                <w:rFonts w:ascii="Arial" w:hAnsi="Arial" w:cs="Arial"/>
              </w:rPr>
              <w:t>2</w:t>
            </w:r>
          </w:p>
        </w:tc>
        <w:tc>
          <w:tcPr>
            <w:tcW w:w="1956" w:type="dxa"/>
          </w:tcPr>
          <w:p w:rsidR="00182CD3" w:rsidRPr="004D7973" w:rsidRDefault="00355440" w:rsidP="009477C6">
            <w:pPr>
              <w:jc w:val="center"/>
              <w:rPr>
                <w:rFonts w:ascii="Arial" w:hAnsi="Arial" w:cs="Arial"/>
              </w:rPr>
            </w:pPr>
            <w:r>
              <w:rPr>
                <w:rFonts w:ascii="Arial" w:hAnsi="Arial" w:cs="Arial"/>
              </w:rPr>
              <w:t>1</w:t>
            </w:r>
          </w:p>
        </w:tc>
      </w:tr>
      <w:tr w:rsidR="006A2AEE" w:rsidTr="009477C6">
        <w:tc>
          <w:tcPr>
            <w:tcW w:w="3686" w:type="dxa"/>
          </w:tcPr>
          <w:p w:rsidR="00182CD3" w:rsidRPr="004D7973" w:rsidRDefault="00355440" w:rsidP="009477C6">
            <w:pPr>
              <w:rPr>
                <w:rFonts w:ascii="Arial" w:hAnsi="Arial" w:cs="Arial"/>
              </w:rPr>
            </w:pPr>
            <w:r>
              <w:rPr>
                <w:rFonts w:ascii="Arial" w:hAnsi="Arial" w:cs="Arial"/>
              </w:rPr>
              <w:t>S Thompson</w:t>
            </w:r>
          </w:p>
        </w:tc>
        <w:tc>
          <w:tcPr>
            <w:tcW w:w="1842" w:type="dxa"/>
          </w:tcPr>
          <w:p w:rsidR="00182CD3" w:rsidRPr="004D7973" w:rsidRDefault="00355440" w:rsidP="009477C6">
            <w:pPr>
              <w:jc w:val="center"/>
              <w:rPr>
                <w:rFonts w:ascii="Arial" w:hAnsi="Arial" w:cs="Arial"/>
              </w:rPr>
            </w:pPr>
            <w:r>
              <w:rPr>
                <w:rFonts w:ascii="Arial" w:hAnsi="Arial" w:cs="Arial"/>
              </w:rPr>
              <w:t>2</w:t>
            </w:r>
          </w:p>
        </w:tc>
        <w:tc>
          <w:tcPr>
            <w:tcW w:w="1956" w:type="dxa"/>
          </w:tcPr>
          <w:p w:rsidR="00182CD3" w:rsidRPr="004D7973" w:rsidRDefault="00355440" w:rsidP="009477C6">
            <w:pPr>
              <w:jc w:val="center"/>
              <w:rPr>
                <w:rFonts w:ascii="Arial" w:hAnsi="Arial" w:cs="Arial"/>
              </w:rPr>
            </w:pPr>
            <w:r>
              <w:rPr>
                <w:rFonts w:ascii="Arial" w:hAnsi="Arial" w:cs="Arial"/>
              </w:rPr>
              <w:t>0</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C Gibson</w:t>
            </w:r>
          </w:p>
        </w:tc>
        <w:tc>
          <w:tcPr>
            <w:tcW w:w="1842" w:type="dxa"/>
          </w:tcPr>
          <w:p w:rsidR="00182CD3" w:rsidRPr="004D7973" w:rsidRDefault="00355440" w:rsidP="009477C6">
            <w:pPr>
              <w:jc w:val="center"/>
              <w:rPr>
                <w:rFonts w:ascii="Arial" w:hAnsi="Arial" w:cs="Arial"/>
              </w:rPr>
            </w:pPr>
            <w:r>
              <w:rPr>
                <w:rFonts w:ascii="Arial" w:hAnsi="Arial" w:cs="Arial"/>
              </w:rPr>
              <w:t>0</w:t>
            </w:r>
          </w:p>
        </w:tc>
        <w:tc>
          <w:tcPr>
            <w:tcW w:w="1956" w:type="dxa"/>
          </w:tcPr>
          <w:p w:rsidR="00182CD3" w:rsidRPr="004D7973" w:rsidRDefault="00355440" w:rsidP="009477C6">
            <w:pPr>
              <w:jc w:val="center"/>
              <w:rPr>
                <w:rFonts w:ascii="Arial" w:hAnsi="Arial" w:cs="Arial"/>
              </w:rPr>
            </w:pPr>
            <w:r>
              <w:rPr>
                <w:rFonts w:ascii="Arial" w:hAnsi="Arial" w:cs="Arial"/>
              </w:rPr>
              <w:t>1</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K Haigh</w:t>
            </w:r>
          </w:p>
        </w:tc>
        <w:tc>
          <w:tcPr>
            <w:tcW w:w="1842" w:type="dxa"/>
          </w:tcPr>
          <w:p w:rsidR="00182CD3" w:rsidRPr="004D7973" w:rsidRDefault="00355440" w:rsidP="009477C6">
            <w:pPr>
              <w:jc w:val="center"/>
              <w:rPr>
                <w:rFonts w:ascii="Arial" w:hAnsi="Arial" w:cs="Arial"/>
              </w:rPr>
            </w:pPr>
            <w:r>
              <w:rPr>
                <w:rFonts w:ascii="Arial" w:hAnsi="Arial" w:cs="Arial"/>
              </w:rPr>
              <w:t>7</w:t>
            </w:r>
          </w:p>
        </w:tc>
        <w:tc>
          <w:tcPr>
            <w:tcW w:w="1956" w:type="dxa"/>
          </w:tcPr>
          <w:p w:rsidR="00182CD3" w:rsidRPr="004D7973" w:rsidRDefault="00355440" w:rsidP="009477C6">
            <w:pPr>
              <w:jc w:val="center"/>
              <w:rPr>
                <w:rFonts w:ascii="Arial" w:hAnsi="Arial" w:cs="Arial"/>
              </w:rPr>
            </w:pPr>
            <w:r>
              <w:rPr>
                <w:rFonts w:ascii="Arial" w:hAnsi="Arial" w:cs="Arial"/>
              </w:rPr>
              <w:t>2</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R Harvey</w:t>
            </w:r>
          </w:p>
        </w:tc>
        <w:tc>
          <w:tcPr>
            <w:tcW w:w="1842" w:type="dxa"/>
          </w:tcPr>
          <w:p w:rsidR="00182CD3" w:rsidRPr="004D7973" w:rsidRDefault="00355440" w:rsidP="009477C6">
            <w:pPr>
              <w:jc w:val="center"/>
              <w:rPr>
                <w:rFonts w:ascii="Arial" w:hAnsi="Arial" w:cs="Arial"/>
              </w:rPr>
            </w:pPr>
            <w:r>
              <w:rPr>
                <w:rFonts w:ascii="Arial" w:hAnsi="Arial" w:cs="Arial"/>
              </w:rPr>
              <w:t>7</w:t>
            </w:r>
          </w:p>
        </w:tc>
        <w:tc>
          <w:tcPr>
            <w:tcW w:w="1956" w:type="dxa"/>
          </w:tcPr>
          <w:p w:rsidR="00182CD3" w:rsidRPr="004D7973" w:rsidRDefault="00355440" w:rsidP="009477C6">
            <w:pPr>
              <w:jc w:val="center"/>
              <w:rPr>
                <w:rFonts w:ascii="Arial" w:hAnsi="Arial" w:cs="Arial"/>
              </w:rPr>
            </w:pPr>
            <w:r>
              <w:rPr>
                <w:rFonts w:ascii="Arial" w:hAnsi="Arial" w:cs="Arial"/>
              </w:rPr>
              <w:t>2</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Y Moult</w:t>
            </w:r>
          </w:p>
        </w:tc>
        <w:tc>
          <w:tcPr>
            <w:tcW w:w="1842" w:type="dxa"/>
          </w:tcPr>
          <w:p w:rsidR="00182CD3" w:rsidRPr="004D7973" w:rsidRDefault="00355440" w:rsidP="009477C6">
            <w:pPr>
              <w:jc w:val="center"/>
              <w:rPr>
                <w:rFonts w:ascii="Arial" w:hAnsi="Arial" w:cs="Arial"/>
              </w:rPr>
            </w:pPr>
            <w:r>
              <w:rPr>
                <w:rFonts w:ascii="Arial" w:hAnsi="Arial" w:cs="Arial"/>
              </w:rPr>
              <w:t>4</w:t>
            </w:r>
          </w:p>
        </w:tc>
        <w:tc>
          <w:tcPr>
            <w:tcW w:w="1956" w:type="dxa"/>
          </w:tcPr>
          <w:p w:rsidR="00182CD3" w:rsidRPr="004D7973" w:rsidRDefault="00355440" w:rsidP="009477C6">
            <w:pPr>
              <w:jc w:val="center"/>
              <w:rPr>
                <w:rFonts w:ascii="Arial" w:hAnsi="Arial" w:cs="Arial"/>
              </w:rPr>
            </w:pPr>
            <w:r>
              <w:rPr>
                <w:rFonts w:ascii="Arial" w:hAnsi="Arial" w:cs="Arial"/>
              </w:rPr>
              <w:t>1</w:t>
            </w:r>
          </w:p>
        </w:tc>
      </w:tr>
      <w:tr w:rsidR="006A2AEE" w:rsidTr="009477C6">
        <w:tc>
          <w:tcPr>
            <w:tcW w:w="3686" w:type="dxa"/>
          </w:tcPr>
          <w:p w:rsidR="00182CD3" w:rsidRPr="004D7973" w:rsidRDefault="00355440" w:rsidP="009477C6">
            <w:pPr>
              <w:rPr>
                <w:rFonts w:ascii="Arial" w:hAnsi="Arial" w:cs="Arial"/>
              </w:rPr>
            </w:pPr>
            <w:r w:rsidRPr="004D7973">
              <w:rPr>
                <w:rFonts w:ascii="Arial" w:hAnsi="Arial" w:cs="Arial"/>
              </w:rPr>
              <w:t>J Hall</w:t>
            </w:r>
          </w:p>
        </w:tc>
        <w:tc>
          <w:tcPr>
            <w:tcW w:w="1842" w:type="dxa"/>
          </w:tcPr>
          <w:p w:rsidR="00182CD3" w:rsidRPr="004D7973" w:rsidRDefault="00355440" w:rsidP="009477C6">
            <w:pPr>
              <w:jc w:val="center"/>
              <w:rPr>
                <w:rFonts w:ascii="Arial" w:hAnsi="Arial" w:cs="Arial"/>
              </w:rPr>
            </w:pPr>
            <w:r>
              <w:rPr>
                <w:rFonts w:ascii="Arial" w:hAnsi="Arial" w:cs="Arial"/>
              </w:rPr>
              <w:t>0</w:t>
            </w:r>
          </w:p>
        </w:tc>
        <w:tc>
          <w:tcPr>
            <w:tcW w:w="1956" w:type="dxa"/>
          </w:tcPr>
          <w:p w:rsidR="00182CD3" w:rsidRPr="004D7973" w:rsidRDefault="00355440" w:rsidP="009477C6">
            <w:pPr>
              <w:jc w:val="center"/>
              <w:rPr>
                <w:rFonts w:ascii="Arial" w:hAnsi="Arial" w:cs="Arial"/>
              </w:rPr>
            </w:pPr>
            <w:r>
              <w:rPr>
                <w:rFonts w:ascii="Arial" w:hAnsi="Arial" w:cs="Arial"/>
              </w:rPr>
              <w:t>0</w:t>
            </w:r>
          </w:p>
        </w:tc>
      </w:tr>
    </w:tbl>
    <w:p w:rsidR="004132C5" w:rsidRDefault="00355440" w:rsidP="004132C5">
      <w:pPr>
        <w:spacing w:after="0"/>
        <w:rPr>
          <w:rFonts w:ascii="Arial" w:hAnsi="Arial" w:cs="Arial"/>
          <w:sz w:val="24"/>
          <w:szCs w:val="24"/>
        </w:rPr>
      </w:pPr>
    </w:p>
    <w:p w:rsidR="005C502A" w:rsidRDefault="00355440" w:rsidP="004132C5">
      <w:pPr>
        <w:spacing w:after="0"/>
        <w:rPr>
          <w:rFonts w:ascii="Arial" w:hAnsi="Arial" w:cs="Arial"/>
          <w:sz w:val="24"/>
          <w:szCs w:val="24"/>
        </w:rPr>
      </w:pPr>
    </w:p>
    <w:p w:rsidR="008700E8" w:rsidRDefault="00355440" w:rsidP="00A143E3">
      <w:pPr>
        <w:spacing w:after="0"/>
        <w:rPr>
          <w:rStyle w:val="Hyperlink"/>
          <w:rFonts w:ascii="Arial" w:hAnsi="Arial" w:cs="Arial"/>
          <w:sz w:val="24"/>
          <w:szCs w:val="24"/>
        </w:rPr>
      </w:pPr>
      <w:r>
        <w:rPr>
          <w:rFonts w:ascii="Arial" w:hAnsi="Arial" w:cs="Arial"/>
          <w:sz w:val="24"/>
          <w:szCs w:val="24"/>
        </w:rPr>
        <w:t xml:space="preserve">Information about the Board, including </w:t>
      </w:r>
      <w:r w:rsidRPr="00A143E3">
        <w:rPr>
          <w:rFonts w:ascii="Arial" w:hAnsi="Arial" w:cs="Arial"/>
          <w:sz w:val="24"/>
          <w:szCs w:val="24"/>
        </w:rPr>
        <w:t xml:space="preserve">minutes and </w:t>
      </w:r>
      <w:r w:rsidRPr="00A143E3">
        <w:rPr>
          <w:rFonts w:ascii="Arial" w:hAnsi="Arial" w:cs="Arial"/>
          <w:sz w:val="24"/>
          <w:szCs w:val="24"/>
        </w:rPr>
        <w:t>public papers</w:t>
      </w:r>
      <w:r>
        <w:rPr>
          <w:rFonts w:ascii="Arial" w:hAnsi="Arial" w:cs="Arial"/>
          <w:sz w:val="24"/>
          <w:szCs w:val="24"/>
        </w:rPr>
        <w:t>,</w:t>
      </w:r>
      <w:r w:rsidRPr="00A143E3">
        <w:rPr>
          <w:rFonts w:ascii="Arial" w:hAnsi="Arial" w:cs="Arial"/>
          <w:sz w:val="24"/>
          <w:szCs w:val="24"/>
        </w:rPr>
        <w:t xml:space="preserve"> are available on </w:t>
      </w:r>
      <w:r>
        <w:rPr>
          <w:rFonts w:ascii="Arial" w:hAnsi="Arial" w:cs="Arial"/>
          <w:sz w:val="24"/>
          <w:szCs w:val="24"/>
        </w:rPr>
        <w:t xml:space="preserve">can be viewed on the </w:t>
      </w:r>
      <w:hyperlink r:id="rId6" w:history="1">
        <w:r w:rsidRPr="00D15A23">
          <w:rPr>
            <w:rStyle w:val="Hyperlink"/>
            <w:rFonts w:ascii="Arial" w:hAnsi="Arial" w:cs="Arial"/>
            <w:sz w:val="24"/>
            <w:szCs w:val="24"/>
          </w:rPr>
          <w:t>Your Pension Service website</w:t>
        </w:r>
      </w:hyperlink>
      <w:r>
        <w:rPr>
          <w:rFonts w:ascii="Arial" w:hAnsi="Arial" w:cs="Arial"/>
          <w:sz w:val="24"/>
          <w:szCs w:val="24"/>
        </w:rPr>
        <w:t xml:space="preserve"> </w:t>
      </w:r>
      <w:r w:rsidRPr="00A143E3">
        <w:rPr>
          <w:rFonts w:ascii="Arial" w:hAnsi="Arial" w:cs="Arial"/>
          <w:sz w:val="24"/>
          <w:szCs w:val="24"/>
        </w:rPr>
        <w:t xml:space="preserve">the </w:t>
      </w:r>
      <w:r w:rsidRPr="008700E8">
        <w:rPr>
          <w:rFonts w:ascii="Arial" w:hAnsi="Arial" w:cs="Arial"/>
          <w:sz w:val="24"/>
          <w:szCs w:val="24"/>
        </w:rPr>
        <w:t>Pension Fund</w:t>
      </w:r>
      <w:r>
        <w:rPr>
          <w:rFonts w:ascii="Arial" w:hAnsi="Arial" w:cs="Arial"/>
          <w:sz w:val="24"/>
          <w:szCs w:val="24"/>
        </w:rPr>
        <w:t xml:space="preserve"> </w:t>
      </w:r>
    </w:p>
    <w:p w:rsidR="00D15A23" w:rsidRDefault="00355440" w:rsidP="00A143E3">
      <w:pPr>
        <w:spacing w:after="0"/>
        <w:rPr>
          <w:rFonts w:ascii="Arial" w:hAnsi="Arial" w:cs="Arial"/>
          <w:sz w:val="24"/>
          <w:szCs w:val="24"/>
        </w:rPr>
      </w:pPr>
    </w:p>
    <w:p w:rsidR="0026377F" w:rsidRDefault="00355440" w:rsidP="0026377F">
      <w:pPr>
        <w:spacing w:after="0"/>
        <w:rPr>
          <w:rFonts w:ascii="Arial" w:hAnsi="Arial" w:cs="Arial"/>
          <w:sz w:val="24"/>
          <w:szCs w:val="24"/>
        </w:rPr>
      </w:pPr>
      <w:r>
        <w:rPr>
          <w:rFonts w:ascii="Arial" w:hAnsi="Arial" w:cs="Arial"/>
          <w:sz w:val="24"/>
          <w:szCs w:val="24"/>
        </w:rPr>
        <w:lastRenderedPageBreak/>
        <w:t xml:space="preserve">Much of the work in the past </w:t>
      </w:r>
      <w:r>
        <w:rPr>
          <w:rFonts w:ascii="Arial" w:hAnsi="Arial" w:cs="Arial"/>
          <w:sz w:val="24"/>
          <w:szCs w:val="24"/>
        </w:rPr>
        <w:t xml:space="preserve">year has been on internal changes and developments resulting from the creation of LPP and I give more details below.  However, it has been important that we do not neglect our regular function of monitoring compliance with all the regulations and guidance </w:t>
      </w:r>
      <w:r>
        <w:rPr>
          <w:rFonts w:ascii="Arial" w:hAnsi="Arial" w:cs="Arial"/>
          <w:sz w:val="24"/>
          <w:szCs w:val="24"/>
        </w:rPr>
        <w:t xml:space="preserve">from the Pensions Regulator, the DCLG (now the MHCLG) and other sources, as well as service level agreements with LPP.  We agree a detailed Work Plan at the beginning of each year to ensure that we cover everything within our remit and at every meeting we </w:t>
      </w:r>
      <w:r>
        <w:rPr>
          <w:rFonts w:ascii="Arial" w:hAnsi="Arial" w:cs="Arial"/>
          <w:sz w:val="24"/>
          <w:szCs w:val="24"/>
        </w:rPr>
        <w:t xml:space="preserve">review the assurance statements given to us.  In some cases, such as the Key Performance Indicators or notification of any breach of regulations, we see the detail behind the headline statement.  2018’s plan can be seen in the </w:t>
      </w:r>
      <w:r w:rsidRPr="005C502A">
        <w:rPr>
          <w:rFonts w:ascii="Arial" w:hAnsi="Arial" w:cs="Arial"/>
          <w:sz w:val="24"/>
          <w:szCs w:val="24"/>
        </w:rPr>
        <w:t xml:space="preserve">agenda for the </w:t>
      </w:r>
      <w:hyperlink r:id="rId7" w:history="1">
        <w:r w:rsidRPr="005C502A">
          <w:rPr>
            <w:rStyle w:val="Hyperlink"/>
            <w:rFonts w:ascii="Arial" w:hAnsi="Arial" w:cs="Arial"/>
            <w:sz w:val="24"/>
            <w:szCs w:val="24"/>
          </w:rPr>
          <w:t>April 2018 Board</w:t>
        </w:r>
      </w:hyperlink>
      <w:r>
        <w:rPr>
          <w:rFonts w:ascii="Arial" w:hAnsi="Arial" w:cs="Arial"/>
          <w:sz w:val="24"/>
          <w:szCs w:val="24"/>
        </w:rPr>
        <w:t>.</w:t>
      </w:r>
    </w:p>
    <w:p w:rsidR="00BA6E8E" w:rsidRDefault="00355440" w:rsidP="0026377F">
      <w:pPr>
        <w:spacing w:after="0"/>
        <w:rPr>
          <w:rFonts w:ascii="Arial" w:hAnsi="Arial" w:cs="Arial"/>
          <w:sz w:val="24"/>
          <w:szCs w:val="24"/>
        </w:rPr>
      </w:pPr>
    </w:p>
    <w:p w:rsidR="0026377F" w:rsidRDefault="00355440" w:rsidP="0026377F">
      <w:pPr>
        <w:spacing w:after="0"/>
        <w:rPr>
          <w:rFonts w:ascii="Arial" w:hAnsi="Arial" w:cs="Arial"/>
          <w:sz w:val="24"/>
          <w:szCs w:val="24"/>
        </w:rPr>
      </w:pPr>
      <w:r>
        <w:rPr>
          <w:rFonts w:ascii="Arial" w:hAnsi="Arial" w:cs="Arial"/>
          <w:sz w:val="24"/>
          <w:szCs w:val="24"/>
        </w:rPr>
        <w:t xml:space="preserve">One challenge for the </w:t>
      </w:r>
      <w:r>
        <w:rPr>
          <w:rFonts w:ascii="Arial" w:hAnsi="Arial" w:cs="Arial"/>
          <w:sz w:val="24"/>
          <w:szCs w:val="24"/>
        </w:rPr>
        <w:t>L</w:t>
      </w:r>
      <w:r>
        <w:rPr>
          <w:rFonts w:ascii="Arial" w:hAnsi="Arial" w:cs="Arial"/>
          <w:sz w:val="24"/>
          <w:szCs w:val="24"/>
        </w:rPr>
        <w:t>LPB results from the outsourcing of a large part of the Fund’s functions to LPP, whose staff therefore create many of the assurance statements which we rely on when we review compliance, but may themselves also form part of the subject matter.  In this con</w:t>
      </w:r>
      <w:r>
        <w:rPr>
          <w:rFonts w:ascii="Arial" w:hAnsi="Arial" w:cs="Arial"/>
          <w:sz w:val="24"/>
          <w:szCs w:val="24"/>
        </w:rPr>
        <w:t xml:space="preserve">text, we place particular importance on who else has reviewed the assurance statements and the independent auditor reports, both internal and external.  If we are not content, we will ask to see the detail behind the statements.   </w:t>
      </w:r>
    </w:p>
    <w:p w:rsidR="0026377F" w:rsidRDefault="00355440" w:rsidP="0026377F">
      <w:pPr>
        <w:spacing w:after="0"/>
        <w:rPr>
          <w:rFonts w:ascii="Arial" w:hAnsi="Arial" w:cs="Arial"/>
          <w:sz w:val="24"/>
          <w:szCs w:val="24"/>
        </w:rPr>
      </w:pPr>
    </w:p>
    <w:p w:rsidR="0026377F" w:rsidRDefault="00355440" w:rsidP="0026377F">
      <w:pPr>
        <w:spacing w:after="0"/>
        <w:rPr>
          <w:rFonts w:ascii="Arial" w:hAnsi="Arial" w:cs="Arial"/>
          <w:sz w:val="24"/>
          <w:szCs w:val="24"/>
        </w:rPr>
      </w:pPr>
      <w:r>
        <w:rPr>
          <w:rFonts w:ascii="Arial" w:hAnsi="Arial" w:cs="Arial"/>
          <w:sz w:val="24"/>
          <w:szCs w:val="24"/>
        </w:rPr>
        <w:t>Our second legal duty i</w:t>
      </w:r>
      <w:r>
        <w:rPr>
          <w:rFonts w:ascii="Arial" w:hAnsi="Arial" w:cs="Arial"/>
          <w:sz w:val="24"/>
          <w:szCs w:val="24"/>
        </w:rPr>
        <w:t>s to assist the Pension Fund Committee.  As part of that, we regularly review and comment on formal documents which they are considering.  I would like to highlight the Risk Register, a revised Responsible Investment policy, the measures put in place ahead</w:t>
      </w:r>
      <w:r>
        <w:rPr>
          <w:rFonts w:ascii="Arial" w:hAnsi="Arial" w:cs="Arial"/>
          <w:sz w:val="24"/>
          <w:szCs w:val="24"/>
        </w:rPr>
        <w:t xml:space="preserve"> of the introduction of two new European Directives (MIFID II and GDPR), compliance with The Pension Regulator’s Code of Practice 14 and the annual communications report.  In all these cases except for the last, our role was to review and make suggestions </w:t>
      </w:r>
      <w:r>
        <w:rPr>
          <w:rFonts w:ascii="Arial" w:hAnsi="Arial" w:cs="Arial"/>
          <w:sz w:val="24"/>
          <w:szCs w:val="24"/>
        </w:rPr>
        <w:t>to the Board before they finally approved the reports.  In the case of the Risk Register, we made substantial recommendations on how to improve its presentation and how the Board’s activities could be a significant mitigating factor across a range of risks</w:t>
      </w:r>
      <w:r>
        <w:rPr>
          <w:rFonts w:ascii="Arial" w:hAnsi="Arial" w:cs="Arial"/>
          <w:sz w:val="24"/>
          <w:szCs w:val="24"/>
        </w:rPr>
        <w:t>.</w:t>
      </w:r>
    </w:p>
    <w:p w:rsidR="0026377F" w:rsidRDefault="00355440" w:rsidP="0026377F">
      <w:pPr>
        <w:spacing w:after="0"/>
        <w:rPr>
          <w:rFonts w:ascii="Arial" w:hAnsi="Arial" w:cs="Arial"/>
          <w:sz w:val="24"/>
          <w:szCs w:val="24"/>
        </w:rPr>
      </w:pPr>
    </w:p>
    <w:p w:rsidR="0026377F" w:rsidRDefault="00355440" w:rsidP="0026377F">
      <w:pPr>
        <w:spacing w:after="0"/>
        <w:rPr>
          <w:rFonts w:ascii="Arial" w:hAnsi="Arial" w:cs="Arial"/>
          <w:sz w:val="24"/>
          <w:szCs w:val="24"/>
        </w:rPr>
      </w:pPr>
      <w:r>
        <w:rPr>
          <w:rFonts w:ascii="Arial" w:hAnsi="Arial" w:cs="Arial"/>
          <w:sz w:val="24"/>
          <w:szCs w:val="24"/>
        </w:rPr>
        <w:t>I mentioned last year that we would keep a careful eye on the procedures in place to monitor LPP’s performance.  The Fund’s ability to fulfil its fiduciary duty and thereby pay pensions in full on time, depends on LPP providing an effective service to i</w:t>
      </w:r>
      <w:r>
        <w:rPr>
          <w:rFonts w:ascii="Arial" w:hAnsi="Arial" w:cs="Arial"/>
          <w:sz w:val="24"/>
          <w:szCs w:val="24"/>
        </w:rPr>
        <w:t>t.  We highlighted last year that we had concerns that there was insufficient governance resource dedicated in this area, and recommended both an increase in the Fund’s governance resource and also an independent review.  A year later there have been three</w:t>
      </w:r>
      <w:r>
        <w:rPr>
          <w:rFonts w:ascii="Arial" w:hAnsi="Arial" w:cs="Arial"/>
          <w:sz w:val="24"/>
          <w:szCs w:val="24"/>
        </w:rPr>
        <w:t xml:space="preserve"> separate reviews from a legal, compliance and operational perspective, which give us greater confidence.  We will continue to monitor this topic going forward, as good governance is a continual process and not a one-off project.  </w:t>
      </w:r>
    </w:p>
    <w:p w:rsidR="0026377F" w:rsidRDefault="00355440" w:rsidP="0026377F">
      <w:pPr>
        <w:spacing w:after="0"/>
        <w:rPr>
          <w:rFonts w:ascii="Arial" w:hAnsi="Arial" w:cs="Arial"/>
          <w:sz w:val="24"/>
          <w:szCs w:val="24"/>
        </w:rPr>
      </w:pPr>
    </w:p>
    <w:p w:rsidR="0026377F" w:rsidRDefault="00355440" w:rsidP="0026377F">
      <w:pPr>
        <w:spacing w:after="0"/>
        <w:rPr>
          <w:rFonts w:ascii="Arial" w:hAnsi="Arial" w:cs="Arial"/>
          <w:sz w:val="24"/>
          <w:szCs w:val="24"/>
        </w:rPr>
      </w:pPr>
      <w:r>
        <w:rPr>
          <w:rFonts w:ascii="Arial" w:hAnsi="Arial" w:cs="Arial"/>
          <w:sz w:val="24"/>
          <w:szCs w:val="24"/>
        </w:rPr>
        <w:t xml:space="preserve">Throughout the year we </w:t>
      </w:r>
      <w:r>
        <w:rPr>
          <w:rFonts w:ascii="Arial" w:hAnsi="Arial" w:cs="Arial"/>
          <w:sz w:val="24"/>
          <w:szCs w:val="24"/>
        </w:rPr>
        <w:t>monitored LPP’s project to redesign the administration processes to deliver a better service to its clients, including LCPF.  Our objective in the last year, within the limits of our remit, was to gain what assurance we could that the process of change did</w:t>
      </w:r>
      <w:r>
        <w:rPr>
          <w:rFonts w:ascii="Arial" w:hAnsi="Arial" w:cs="Arial"/>
          <w:sz w:val="24"/>
          <w:szCs w:val="24"/>
        </w:rPr>
        <w:t xml:space="preserve"> not involve any risk to the level of service provided to </w:t>
      </w:r>
      <w:r>
        <w:rPr>
          <w:rFonts w:ascii="Arial" w:hAnsi="Arial" w:cs="Arial"/>
          <w:sz w:val="24"/>
          <w:szCs w:val="24"/>
        </w:rPr>
        <w:lastRenderedPageBreak/>
        <w:t>members in the short term.  The project is nearing completion and we will be evaluating the improvements in service levels over the next financial year.</w:t>
      </w:r>
    </w:p>
    <w:p w:rsidR="0026377F" w:rsidRDefault="00355440" w:rsidP="0026377F">
      <w:pPr>
        <w:spacing w:after="0"/>
        <w:rPr>
          <w:rFonts w:ascii="Arial" w:hAnsi="Arial" w:cs="Arial"/>
          <w:sz w:val="24"/>
          <w:szCs w:val="24"/>
        </w:rPr>
      </w:pPr>
    </w:p>
    <w:p w:rsidR="00241D19" w:rsidRDefault="00355440" w:rsidP="0026377F">
      <w:pPr>
        <w:spacing w:after="0"/>
        <w:rPr>
          <w:rFonts w:ascii="Arial" w:hAnsi="Arial" w:cs="Arial"/>
          <w:sz w:val="24"/>
          <w:szCs w:val="24"/>
        </w:rPr>
      </w:pPr>
      <w:r>
        <w:rPr>
          <w:rFonts w:ascii="Arial" w:hAnsi="Arial" w:cs="Arial"/>
          <w:sz w:val="24"/>
          <w:szCs w:val="24"/>
        </w:rPr>
        <w:t>We have also, jointly with the LPFA, commiss</w:t>
      </w:r>
      <w:r>
        <w:rPr>
          <w:rFonts w:ascii="Arial" w:hAnsi="Arial" w:cs="Arial"/>
          <w:sz w:val="24"/>
          <w:szCs w:val="24"/>
        </w:rPr>
        <w:t>ioned an external review of LPP’s effectiveness now that the company has been fully operational for two years.  We wish to have third-party assurance that it is cost-effective for both Funds, in terms of its establishment but also looking forward.  We will</w:t>
      </w:r>
      <w:r>
        <w:rPr>
          <w:rFonts w:ascii="Arial" w:hAnsi="Arial" w:cs="Arial"/>
          <w:sz w:val="24"/>
          <w:szCs w:val="24"/>
        </w:rPr>
        <w:t xml:space="preserve"> also spend time in the next year on reviewing communications to members and employers.</w:t>
      </w:r>
    </w:p>
    <w:p w:rsidR="00241D19" w:rsidRDefault="00355440" w:rsidP="0026377F">
      <w:pPr>
        <w:spacing w:after="0"/>
        <w:rPr>
          <w:rFonts w:ascii="Arial" w:hAnsi="Arial" w:cs="Arial"/>
          <w:sz w:val="24"/>
          <w:szCs w:val="24"/>
        </w:rPr>
      </w:pPr>
    </w:p>
    <w:p w:rsidR="00A143E3" w:rsidRDefault="00355440" w:rsidP="0026377F">
      <w:pPr>
        <w:spacing w:after="0"/>
        <w:rPr>
          <w:rFonts w:ascii="Arial" w:hAnsi="Arial" w:cs="Arial"/>
          <w:sz w:val="24"/>
          <w:szCs w:val="24"/>
        </w:rPr>
      </w:pPr>
      <w:r>
        <w:rPr>
          <w:rFonts w:ascii="Arial" w:hAnsi="Arial" w:cs="Arial"/>
          <w:sz w:val="24"/>
          <w:szCs w:val="24"/>
        </w:rPr>
        <w:t xml:space="preserve">After three years of operation we believe the </w:t>
      </w:r>
      <w:r>
        <w:rPr>
          <w:rFonts w:ascii="Arial" w:hAnsi="Arial" w:cs="Arial"/>
          <w:sz w:val="24"/>
          <w:szCs w:val="24"/>
        </w:rPr>
        <w:t>L</w:t>
      </w:r>
      <w:r>
        <w:rPr>
          <w:rFonts w:ascii="Arial" w:hAnsi="Arial" w:cs="Arial"/>
          <w:sz w:val="24"/>
          <w:szCs w:val="24"/>
        </w:rPr>
        <w:t>LPB has established itself as a valuable part of the Fund’s governance.  We are using our collective knowledge and exper</w:t>
      </w:r>
      <w:r>
        <w:rPr>
          <w:rFonts w:ascii="Arial" w:hAnsi="Arial" w:cs="Arial"/>
          <w:sz w:val="24"/>
          <w:szCs w:val="24"/>
        </w:rPr>
        <w:t xml:space="preserve">ience to try and ensure that members and employers’ interests are not lost in the more complex structures which the creation of LPP has inevitably involved.  Apart from the activities outlined above, I expect the focus over the next year to be more on our </w:t>
      </w:r>
      <w:r>
        <w:rPr>
          <w:rFonts w:ascii="Arial" w:hAnsi="Arial" w:cs="Arial"/>
          <w:sz w:val="24"/>
          <w:szCs w:val="24"/>
        </w:rPr>
        <w:t xml:space="preserve">core functions, i.e. monitoring compliance with the regulations and assisting the PFC to run the Fund where we can.   </w:t>
      </w:r>
    </w:p>
    <w:p w:rsidR="00241D19" w:rsidRDefault="00355440" w:rsidP="0026377F">
      <w:pPr>
        <w:spacing w:after="0"/>
        <w:rPr>
          <w:rFonts w:ascii="Arial" w:hAnsi="Arial" w:cs="Arial"/>
          <w:sz w:val="24"/>
          <w:szCs w:val="24"/>
        </w:rPr>
      </w:pPr>
    </w:p>
    <w:p w:rsidR="00241D19" w:rsidRDefault="00355440" w:rsidP="0026377F">
      <w:pPr>
        <w:spacing w:after="0"/>
        <w:rPr>
          <w:rFonts w:ascii="Arial" w:hAnsi="Arial" w:cs="Arial"/>
          <w:sz w:val="24"/>
          <w:szCs w:val="24"/>
        </w:rPr>
      </w:pPr>
      <w:r>
        <w:rPr>
          <w:rFonts w:ascii="Arial" w:hAnsi="Arial" w:cs="Arial"/>
          <w:sz w:val="24"/>
          <w:szCs w:val="24"/>
        </w:rPr>
        <w:t>I will end by once again thanking the officers at LCPF who support us in our duties.  As part of our annual Board appraisal I speak indi</w:t>
      </w:r>
      <w:r>
        <w:rPr>
          <w:rFonts w:ascii="Arial" w:hAnsi="Arial" w:cs="Arial"/>
          <w:sz w:val="24"/>
          <w:szCs w:val="24"/>
        </w:rPr>
        <w:t>vidually to each member, and I can record unanimous agreement that we are ably and effectively supported by the team at LCPF.  In my view it is important that we recognise that publicly in this report.</w:t>
      </w:r>
    </w:p>
    <w:p w:rsidR="00241D19" w:rsidRDefault="00355440" w:rsidP="0026377F">
      <w:pPr>
        <w:spacing w:after="0"/>
        <w:rPr>
          <w:rFonts w:ascii="Arial" w:hAnsi="Arial" w:cs="Arial"/>
          <w:sz w:val="24"/>
          <w:szCs w:val="24"/>
        </w:rPr>
      </w:pPr>
    </w:p>
    <w:p w:rsidR="00C85B3B" w:rsidRPr="00A143E3" w:rsidRDefault="00355440" w:rsidP="00A143E3">
      <w:pPr>
        <w:spacing w:after="0"/>
        <w:rPr>
          <w:rFonts w:ascii="Arial" w:hAnsi="Arial" w:cs="Arial"/>
          <w:sz w:val="24"/>
          <w:szCs w:val="24"/>
        </w:rPr>
      </w:pPr>
    </w:p>
    <w:p w:rsidR="006D1960" w:rsidRPr="00C85B3B" w:rsidRDefault="00355440" w:rsidP="00A143E3">
      <w:pPr>
        <w:spacing w:after="0"/>
        <w:rPr>
          <w:rFonts w:ascii="Arial" w:hAnsi="Arial" w:cs="Arial"/>
          <w:b/>
          <w:sz w:val="24"/>
          <w:szCs w:val="24"/>
        </w:rPr>
      </w:pPr>
      <w:r w:rsidRPr="00C85B3B">
        <w:rPr>
          <w:rFonts w:ascii="Arial" w:hAnsi="Arial" w:cs="Arial"/>
          <w:b/>
          <w:sz w:val="24"/>
          <w:szCs w:val="24"/>
        </w:rPr>
        <w:t>William Bourne</w:t>
      </w:r>
    </w:p>
    <w:p w:rsidR="00C85B3B" w:rsidRDefault="00355440" w:rsidP="00A143E3">
      <w:pPr>
        <w:spacing w:after="0"/>
        <w:rPr>
          <w:rFonts w:ascii="Arial" w:hAnsi="Arial" w:cs="Arial"/>
          <w:sz w:val="24"/>
          <w:szCs w:val="24"/>
        </w:rPr>
      </w:pPr>
      <w:r>
        <w:rPr>
          <w:rFonts w:ascii="Arial" w:hAnsi="Arial" w:cs="Arial"/>
          <w:sz w:val="24"/>
          <w:szCs w:val="24"/>
        </w:rPr>
        <w:t xml:space="preserve">Independent Chair of the Lancashire </w:t>
      </w:r>
      <w:r>
        <w:rPr>
          <w:rFonts w:ascii="Arial" w:hAnsi="Arial" w:cs="Arial"/>
          <w:sz w:val="24"/>
          <w:szCs w:val="24"/>
        </w:rPr>
        <w:t>Local Pension Board.</w:t>
      </w:r>
    </w:p>
    <w:p w:rsidR="004347C3" w:rsidRPr="00A143E3" w:rsidRDefault="00355440" w:rsidP="00A143E3">
      <w:pPr>
        <w:spacing w:after="0"/>
        <w:rPr>
          <w:rFonts w:ascii="Arial" w:hAnsi="Arial" w:cs="Arial"/>
          <w:sz w:val="24"/>
          <w:szCs w:val="24"/>
        </w:rPr>
      </w:pPr>
      <w:r>
        <w:rPr>
          <w:rFonts w:ascii="Arial" w:hAnsi="Arial" w:cs="Arial"/>
          <w:sz w:val="24"/>
          <w:szCs w:val="24"/>
        </w:rPr>
        <w:t>May</w:t>
      </w:r>
      <w:r>
        <w:rPr>
          <w:rFonts w:ascii="Arial" w:hAnsi="Arial" w:cs="Arial"/>
          <w:sz w:val="24"/>
          <w:szCs w:val="24"/>
        </w:rPr>
        <w:t xml:space="preserve"> 2018</w:t>
      </w:r>
    </w:p>
    <w:sectPr w:rsidR="004347C3" w:rsidRPr="00A1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3576"/>
    <w:multiLevelType w:val="hybridMultilevel"/>
    <w:tmpl w:val="7D3E2294"/>
    <w:lvl w:ilvl="0" w:tplc="EAF42D42">
      <w:start w:val="1"/>
      <w:numFmt w:val="decimal"/>
      <w:lvlText w:val="%1."/>
      <w:lvlJc w:val="left"/>
      <w:pPr>
        <w:ind w:left="720" w:hanging="360"/>
      </w:pPr>
      <w:rPr>
        <w:rFonts w:hint="default"/>
      </w:rPr>
    </w:lvl>
    <w:lvl w:ilvl="1" w:tplc="B178CF8A">
      <w:start w:val="1"/>
      <w:numFmt w:val="bullet"/>
      <w:lvlText w:val=""/>
      <w:lvlJc w:val="left"/>
      <w:pPr>
        <w:ind w:left="1440" w:hanging="360"/>
      </w:pPr>
      <w:rPr>
        <w:rFonts w:ascii="Symbol" w:hAnsi="Symbol" w:hint="default"/>
      </w:rPr>
    </w:lvl>
    <w:lvl w:ilvl="2" w:tplc="639CD45C" w:tentative="1">
      <w:start w:val="1"/>
      <w:numFmt w:val="lowerRoman"/>
      <w:lvlText w:val="%3."/>
      <w:lvlJc w:val="right"/>
      <w:pPr>
        <w:ind w:left="2160" w:hanging="180"/>
      </w:pPr>
    </w:lvl>
    <w:lvl w:ilvl="3" w:tplc="725A7340" w:tentative="1">
      <w:start w:val="1"/>
      <w:numFmt w:val="decimal"/>
      <w:lvlText w:val="%4."/>
      <w:lvlJc w:val="left"/>
      <w:pPr>
        <w:ind w:left="2880" w:hanging="360"/>
      </w:pPr>
    </w:lvl>
    <w:lvl w:ilvl="4" w:tplc="F048BAC6" w:tentative="1">
      <w:start w:val="1"/>
      <w:numFmt w:val="lowerLetter"/>
      <w:lvlText w:val="%5."/>
      <w:lvlJc w:val="left"/>
      <w:pPr>
        <w:ind w:left="3600" w:hanging="360"/>
      </w:pPr>
    </w:lvl>
    <w:lvl w:ilvl="5" w:tplc="BDACED40" w:tentative="1">
      <w:start w:val="1"/>
      <w:numFmt w:val="lowerRoman"/>
      <w:lvlText w:val="%6."/>
      <w:lvlJc w:val="right"/>
      <w:pPr>
        <w:ind w:left="4320" w:hanging="180"/>
      </w:pPr>
    </w:lvl>
    <w:lvl w:ilvl="6" w:tplc="6E0C28D0" w:tentative="1">
      <w:start w:val="1"/>
      <w:numFmt w:val="decimal"/>
      <w:lvlText w:val="%7."/>
      <w:lvlJc w:val="left"/>
      <w:pPr>
        <w:ind w:left="5040" w:hanging="360"/>
      </w:pPr>
    </w:lvl>
    <w:lvl w:ilvl="7" w:tplc="0D2A7DCE" w:tentative="1">
      <w:start w:val="1"/>
      <w:numFmt w:val="lowerLetter"/>
      <w:lvlText w:val="%8."/>
      <w:lvlJc w:val="left"/>
      <w:pPr>
        <w:ind w:left="5760" w:hanging="360"/>
      </w:pPr>
    </w:lvl>
    <w:lvl w:ilvl="8" w:tplc="CE52B89E" w:tentative="1">
      <w:start w:val="1"/>
      <w:numFmt w:val="lowerRoman"/>
      <w:lvlText w:val="%9."/>
      <w:lvlJc w:val="right"/>
      <w:pPr>
        <w:ind w:left="6480" w:hanging="180"/>
      </w:pPr>
    </w:lvl>
  </w:abstractNum>
  <w:abstractNum w:abstractNumId="1" w15:restartNumberingAfterBreak="0">
    <w:nsid w:val="35C929A0"/>
    <w:multiLevelType w:val="hybridMultilevel"/>
    <w:tmpl w:val="3C2E1D44"/>
    <w:lvl w:ilvl="0" w:tplc="D6864AC2">
      <w:start w:val="1"/>
      <w:numFmt w:val="bullet"/>
      <w:lvlText w:val=""/>
      <w:lvlJc w:val="left"/>
      <w:pPr>
        <w:ind w:left="720" w:hanging="360"/>
      </w:pPr>
      <w:rPr>
        <w:rFonts w:ascii="Wingdings" w:hAnsi="Wingdings" w:hint="default"/>
      </w:rPr>
    </w:lvl>
    <w:lvl w:ilvl="1" w:tplc="52562B52" w:tentative="1">
      <w:start w:val="1"/>
      <w:numFmt w:val="bullet"/>
      <w:lvlText w:val="o"/>
      <w:lvlJc w:val="left"/>
      <w:pPr>
        <w:ind w:left="1440" w:hanging="360"/>
      </w:pPr>
      <w:rPr>
        <w:rFonts w:ascii="Courier New" w:hAnsi="Courier New" w:cs="Courier New" w:hint="default"/>
      </w:rPr>
    </w:lvl>
    <w:lvl w:ilvl="2" w:tplc="77603F90" w:tentative="1">
      <w:start w:val="1"/>
      <w:numFmt w:val="bullet"/>
      <w:lvlText w:val=""/>
      <w:lvlJc w:val="left"/>
      <w:pPr>
        <w:ind w:left="2160" w:hanging="360"/>
      </w:pPr>
      <w:rPr>
        <w:rFonts w:ascii="Wingdings" w:hAnsi="Wingdings" w:hint="default"/>
      </w:rPr>
    </w:lvl>
    <w:lvl w:ilvl="3" w:tplc="FF78318E" w:tentative="1">
      <w:start w:val="1"/>
      <w:numFmt w:val="bullet"/>
      <w:lvlText w:val=""/>
      <w:lvlJc w:val="left"/>
      <w:pPr>
        <w:ind w:left="2880" w:hanging="360"/>
      </w:pPr>
      <w:rPr>
        <w:rFonts w:ascii="Symbol" w:hAnsi="Symbol" w:hint="default"/>
      </w:rPr>
    </w:lvl>
    <w:lvl w:ilvl="4" w:tplc="7C2C35B4" w:tentative="1">
      <w:start w:val="1"/>
      <w:numFmt w:val="bullet"/>
      <w:lvlText w:val="o"/>
      <w:lvlJc w:val="left"/>
      <w:pPr>
        <w:ind w:left="3600" w:hanging="360"/>
      </w:pPr>
      <w:rPr>
        <w:rFonts w:ascii="Courier New" w:hAnsi="Courier New" w:cs="Courier New" w:hint="default"/>
      </w:rPr>
    </w:lvl>
    <w:lvl w:ilvl="5" w:tplc="C4AEF7D0" w:tentative="1">
      <w:start w:val="1"/>
      <w:numFmt w:val="bullet"/>
      <w:lvlText w:val=""/>
      <w:lvlJc w:val="left"/>
      <w:pPr>
        <w:ind w:left="4320" w:hanging="360"/>
      </w:pPr>
      <w:rPr>
        <w:rFonts w:ascii="Wingdings" w:hAnsi="Wingdings" w:hint="default"/>
      </w:rPr>
    </w:lvl>
    <w:lvl w:ilvl="6" w:tplc="7EFACCA6" w:tentative="1">
      <w:start w:val="1"/>
      <w:numFmt w:val="bullet"/>
      <w:lvlText w:val=""/>
      <w:lvlJc w:val="left"/>
      <w:pPr>
        <w:ind w:left="5040" w:hanging="360"/>
      </w:pPr>
      <w:rPr>
        <w:rFonts w:ascii="Symbol" w:hAnsi="Symbol" w:hint="default"/>
      </w:rPr>
    </w:lvl>
    <w:lvl w:ilvl="7" w:tplc="8C2053BC" w:tentative="1">
      <w:start w:val="1"/>
      <w:numFmt w:val="bullet"/>
      <w:lvlText w:val="o"/>
      <w:lvlJc w:val="left"/>
      <w:pPr>
        <w:ind w:left="5760" w:hanging="360"/>
      </w:pPr>
      <w:rPr>
        <w:rFonts w:ascii="Courier New" w:hAnsi="Courier New" w:cs="Courier New" w:hint="default"/>
      </w:rPr>
    </w:lvl>
    <w:lvl w:ilvl="8" w:tplc="E984F2F0" w:tentative="1">
      <w:start w:val="1"/>
      <w:numFmt w:val="bullet"/>
      <w:lvlText w:val=""/>
      <w:lvlJc w:val="left"/>
      <w:pPr>
        <w:ind w:left="6480" w:hanging="360"/>
      </w:pPr>
      <w:rPr>
        <w:rFonts w:ascii="Wingdings" w:hAnsi="Wingdings" w:hint="default"/>
      </w:rPr>
    </w:lvl>
  </w:abstractNum>
  <w:abstractNum w:abstractNumId="2" w15:restartNumberingAfterBreak="0">
    <w:nsid w:val="38FE3A02"/>
    <w:multiLevelType w:val="hybridMultilevel"/>
    <w:tmpl w:val="DAD48AD2"/>
    <w:lvl w:ilvl="0" w:tplc="F74810E0">
      <w:start w:val="1"/>
      <w:numFmt w:val="bullet"/>
      <w:lvlText w:val=""/>
      <w:lvlJc w:val="left"/>
      <w:pPr>
        <w:ind w:left="720" w:hanging="360"/>
      </w:pPr>
      <w:rPr>
        <w:rFonts w:ascii="Wingdings" w:hAnsi="Wingdings" w:hint="default"/>
      </w:rPr>
    </w:lvl>
    <w:lvl w:ilvl="1" w:tplc="C11624EA" w:tentative="1">
      <w:start w:val="1"/>
      <w:numFmt w:val="bullet"/>
      <w:lvlText w:val="o"/>
      <w:lvlJc w:val="left"/>
      <w:pPr>
        <w:ind w:left="1440" w:hanging="360"/>
      </w:pPr>
      <w:rPr>
        <w:rFonts w:ascii="Courier New" w:hAnsi="Courier New" w:cs="Courier New" w:hint="default"/>
      </w:rPr>
    </w:lvl>
    <w:lvl w:ilvl="2" w:tplc="90EAF372" w:tentative="1">
      <w:start w:val="1"/>
      <w:numFmt w:val="bullet"/>
      <w:lvlText w:val=""/>
      <w:lvlJc w:val="left"/>
      <w:pPr>
        <w:ind w:left="2160" w:hanging="360"/>
      </w:pPr>
      <w:rPr>
        <w:rFonts w:ascii="Wingdings" w:hAnsi="Wingdings" w:hint="default"/>
      </w:rPr>
    </w:lvl>
    <w:lvl w:ilvl="3" w:tplc="E75A00D2" w:tentative="1">
      <w:start w:val="1"/>
      <w:numFmt w:val="bullet"/>
      <w:lvlText w:val=""/>
      <w:lvlJc w:val="left"/>
      <w:pPr>
        <w:ind w:left="2880" w:hanging="360"/>
      </w:pPr>
      <w:rPr>
        <w:rFonts w:ascii="Symbol" w:hAnsi="Symbol" w:hint="default"/>
      </w:rPr>
    </w:lvl>
    <w:lvl w:ilvl="4" w:tplc="B268D83C" w:tentative="1">
      <w:start w:val="1"/>
      <w:numFmt w:val="bullet"/>
      <w:lvlText w:val="o"/>
      <w:lvlJc w:val="left"/>
      <w:pPr>
        <w:ind w:left="3600" w:hanging="360"/>
      </w:pPr>
      <w:rPr>
        <w:rFonts w:ascii="Courier New" w:hAnsi="Courier New" w:cs="Courier New" w:hint="default"/>
      </w:rPr>
    </w:lvl>
    <w:lvl w:ilvl="5" w:tplc="1E1C6E7A" w:tentative="1">
      <w:start w:val="1"/>
      <w:numFmt w:val="bullet"/>
      <w:lvlText w:val=""/>
      <w:lvlJc w:val="left"/>
      <w:pPr>
        <w:ind w:left="4320" w:hanging="360"/>
      </w:pPr>
      <w:rPr>
        <w:rFonts w:ascii="Wingdings" w:hAnsi="Wingdings" w:hint="default"/>
      </w:rPr>
    </w:lvl>
    <w:lvl w:ilvl="6" w:tplc="9F9E205A" w:tentative="1">
      <w:start w:val="1"/>
      <w:numFmt w:val="bullet"/>
      <w:lvlText w:val=""/>
      <w:lvlJc w:val="left"/>
      <w:pPr>
        <w:ind w:left="5040" w:hanging="360"/>
      </w:pPr>
      <w:rPr>
        <w:rFonts w:ascii="Symbol" w:hAnsi="Symbol" w:hint="default"/>
      </w:rPr>
    </w:lvl>
    <w:lvl w:ilvl="7" w:tplc="9D1A652A" w:tentative="1">
      <w:start w:val="1"/>
      <w:numFmt w:val="bullet"/>
      <w:lvlText w:val="o"/>
      <w:lvlJc w:val="left"/>
      <w:pPr>
        <w:ind w:left="5760" w:hanging="360"/>
      </w:pPr>
      <w:rPr>
        <w:rFonts w:ascii="Courier New" w:hAnsi="Courier New" w:cs="Courier New" w:hint="default"/>
      </w:rPr>
    </w:lvl>
    <w:lvl w:ilvl="8" w:tplc="863063C6" w:tentative="1">
      <w:start w:val="1"/>
      <w:numFmt w:val="bullet"/>
      <w:lvlText w:val=""/>
      <w:lvlJc w:val="left"/>
      <w:pPr>
        <w:ind w:left="6480" w:hanging="360"/>
      </w:pPr>
      <w:rPr>
        <w:rFonts w:ascii="Wingdings" w:hAnsi="Wingdings" w:hint="default"/>
      </w:rPr>
    </w:lvl>
  </w:abstractNum>
  <w:abstractNum w:abstractNumId="3" w15:restartNumberingAfterBreak="0">
    <w:nsid w:val="3DFB7A15"/>
    <w:multiLevelType w:val="hybridMultilevel"/>
    <w:tmpl w:val="8B4E9FFE"/>
    <w:lvl w:ilvl="0" w:tplc="93AEEA14">
      <w:start w:val="1"/>
      <w:numFmt w:val="decimal"/>
      <w:lvlText w:val="%1."/>
      <w:lvlJc w:val="left"/>
      <w:pPr>
        <w:ind w:left="720" w:hanging="360"/>
      </w:pPr>
    </w:lvl>
    <w:lvl w:ilvl="1" w:tplc="A502D4A4">
      <w:start w:val="1"/>
      <w:numFmt w:val="lowerLetter"/>
      <w:lvlText w:val="%2."/>
      <w:lvlJc w:val="left"/>
      <w:pPr>
        <w:ind w:left="1440" w:hanging="360"/>
      </w:pPr>
    </w:lvl>
    <w:lvl w:ilvl="2" w:tplc="1F882644" w:tentative="1">
      <w:start w:val="1"/>
      <w:numFmt w:val="lowerRoman"/>
      <w:lvlText w:val="%3."/>
      <w:lvlJc w:val="right"/>
      <w:pPr>
        <w:ind w:left="2160" w:hanging="180"/>
      </w:pPr>
    </w:lvl>
    <w:lvl w:ilvl="3" w:tplc="83DE79E6" w:tentative="1">
      <w:start w:val="1"/>
      <w:numFmt w:val="decimal"/>
      <w:lvlText w:val="%4."/>
      <w:lvlJc w:val="left"/>
      <w:pPr>
        <w:ind w:left="2880" w:hanging="360"/>
      </w:pPr>
    </w:lvl>
    <w:lvl w:ilvl="4" w:tplc="081A1D6A" w:tentative="1">
      <w:start w:val="1"/>
      <w:numFmt w:val="lowerLetter"/>
      <w:lvlText w:val="%5."/>
      <w:lvlJc w:val="left"/>
      <w:pPr>
        <w:ind w:left="3600" w:hanging="360"/>
      </w:pPr>
    </w:lvl>
    <w:lvl w:ilvl="5" w:tplc="E354AC40" w:tentative="1">
      <w:start w:val="1"/>
      <w:numFmt w:val="lowerRoman"/>
      <w:lvlText w:val="%6."/>
      <w:lvlJc w:val="right"/>
      <w:pPr>
        <w:ind w:left="4320" w:hanging="180"/>
      </w:pPr>
    </w:lvl>
    <w:lvl w:ilvl="6" w:tplc="879A8B52" w:tentative="1">
      <w:start w:val="1"/>
      <w:numFmt w:val="decimal"/>
      <w:lvlText w:val="%7."/>
      <w:lvlJc w:val="left"/>
      <w:pPr>
        <w:ind w:left="5040" w:hanging="360"/>
      </w:pPr>
    </w:lvl>
    <w:lvl w:ilvl="7" w:tplc="44CC9CE0" w:tentative="1">
      <w:start w:val="1"/>
      <w:numFmt w:val="lowerLetter"/>
      <w:lvlText w:val="%8."/>
      <w:lvlJc w:val="left"/>
      <w:pPr>
        <w:ind w:left="5760" w:hanging="360"/>
      </w:pPr>
    </w:lvl>
    <w:lvl w:ilvl="8" w:tplc="A706FC5A" w:tentative="1">
      <w:start w:val="1"/>
      <w:numFmt w:val="lowerRoman"/>
      <w:lvlText w:val="%9."/>
      <w:lvlJc w:val="right"/>
      <w:pPr>
        <w:ind w:left="6480" w:hanging="180"/>
      </w:pPr>
    </w:lvl>
  </w:abstractNum>
  <w:abstractNum w:abstractNumId="4" w15:restartNumberingAfterBreak="0">
    <w:nsid w:val="6AFD2EC2"/>
    <w:multiLevelType w:val="hybridMultilevel"/>
    <w:tmpl w:val="AB1E2130"/>
    <w:lvl w:ilvl="0" w:tplc="FB72E9DC">
      <w:start w:val="1"/>
      <w:numFmt w:val="decimal"/>
      <w:lvlText w:val="%1."/>
      <w:lvlJc w:val="left"/>
      <w:pPr>
        <w:ind w:left="720" w:hanging="360"/>
      </w:pPr>
      <w:rPr>
        <w:rFonts w:hint="default"/>
      </w:rPr>
    </w:lvl>
    <w:lvl w:ilvl="1" w:tplc="243C79D6">
      <w:start w:val="1"/>
      <w:numFmt w:val="bullet"/>
      <w:lvlText w:val=""/>
      <w:lvlJc w:val="left"/>
      <w:pPr>
        <w:ind w:left="1440" w:hanging="360"/>
      </w:pPr>
      <w:rPr>
        <w:rFonts w:ascii="Symbol" w:hAnsi="Symbol" w:hint="default"/>
      </w:rPr>
    </w:lvl>
    <w:lvl w:ilvl="2" w:tplc="8AF8D23A" w:tentative="1">
      <w:start w:val="1"/>
      <w:numFmt w:val="lowerRoman"/>
      <w:lvlText w:val="%3."/>
      <w:lvlJc w:val="right"/>
      <w:pPr>
        <w:ind w:left="2160" w:hanging="180"/>
      </w:pPr>
    </w:lvl>
    <w:lvl w:ilvl="3" w:tplc="8FDC650C" w:tentative="1">
      <w:start w:val="1"/>
      <w:numFmt w:val="decimal"/>
      <w:lvlText w:val="%4."/>
      <w:lvlJc w:val="left"/>
      <w:pPr>
        <w:ind w:left="2880" w:hanging="360"/>
      </w:pPr>
    </w:lvl>
    <w:lvl w:ilvl="4" w:tplc="0B40FDF6" w:tentative="1">
      <w:start w:val="1"/>
      <w:numFmt w:val="lowerLetter"/>
      <w:lvlText w:val="%5."/>
      <w:lvlJc w:val="left"/>
      <w:pPr>
        <w:ind w:left="3600" w:hanging="360"/>
      </w:pPr>
    </w:lvl>
    <w:lvl w:ilvl="5" w:tplc="64FCA90C" w:tentative="1">
      <w:start w:val="1"/>
      <w:numFmt w:val="lowerRoman"/>
      <w:lvlText w:val="%6."/>
      <w:lvlJc w:val="right"/>
      <w:pPr>
        <w:ind w:left="4320" w:hanging="180"/>
      </w:pPr>
    </w:lvl>
    <w:lvl w:ilvl="6" w:tplc="A622FEEE" w:tentative="1">
      <w:start w:val="1"/>
      <w:numFmt w:val="decimal"/>
      <w:lvlText w:val="%7."/>
      <w:lvlJc w:val="left"/>
      <w:pPr>
        <w:ind w:left="5040" w:hanging="360"/>
      </w:pPr>
    </w:lvl>
    <w:lvl w:ilvl="7" w:tplc="A0649B68" w:tentative="1">
      <w:start w:val="1"/>
      <w:numFmt w:val="lowerLetter"/>
      <w:lvlText w:val="%8."/>
      <w:lvlJc w:val="left"/>
      <w:pPr>
        <w:ind w:left="5760" w:hanging="360"/>
      </w:pPr>
    </w:lvl>
    <w:lvl w:ilvl="8" w:tplc="4EAEE64C"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EE"/>
    <w:rsid w:val="00355440"/>
    <w:rsid w:val="006A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B7DEA-D2E0-4D6E-B5A2-C2556EC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5"/>
    <w:pPr>
      <w:ind w:left="720"/>
      <w:contextualSpacing/>
    </w:pPr>
  </w:style>
  <w:style w:type="table" w:styleId="TableGrid">
    <w:name w:val="Table Grid"/>
    <w:basedOn w:val="TableNormal"/>
    <w:uiPriority w:val="59"/>
    <w:rsid w:val="00E5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0E8"/>
    <w:rPr>
      <w:color w:val="0000FF" w:themeColor="hyperlink"/>
      <w:u w:val="single"/>
    </w:rPr>
  </w:style>
  <w:style w:type="character" w:styleId="FollowedHyperlink">
    <w:name w:val="FollowedHyperlink"/>
    <w:basedOn w:val="DefaultParagraphFont"/>
    <w:uiPriority w:val="99"/>
    <w:semiHidden/>
    <w:unhideWhenUsed/>
    <w:rsid w:val="008A35DC"/>
    <w:rPr>
      <w:color w:val="800080" w:themeColor="followedHyperlink"/>
      <w:u w:val="single"/>
    </w:rPr>
  </w:style>
  <w:style w:type="character" w:styleId="CommentReference">
    <w:name w:val="annotation reference"/>
    <w:basedOn w:val="DefaultParagraphFont"/>
    <w:uiPriority w:val="99"/>
    <w:semiHidden/>
    <w:unhideWhenUsed/>
    <w:rsid w:val="00D87B2C"/>
    <w:rPr>
      <w:sz w:val="16"/>
      <w:szCs w:val="16"/>
    </w:rPr>
  </w:style>
  <w:style w:type="paragraph" w:styleId="CommentText">
    <w:name w:val="annotation text"/>
    <w:basedOn w:val="Normal"/>
    <w:link w:val="CommentTextChar"/>
    <w:uiPriority w:val="99"/>
    <w:semiHidden/>
    <w:unhideWhenUsed/>
    <w:rsid w:val="00D87B2C"/>
    <w:pPr>
      <w:spacing w:line="240" w:lineRule="auto"/>
    </w:pPr>
    <w:rPr>
      <w:sz w:val="20"/>
      <w:szCs w:val="20"/>
    </w:rPr>
  </w:style>
  <w:style w:type="character" w:customStyle="1" w:styleId="CommentTextChar">
    <w:name w:val="Comment Text Char"/>
    <w:basedOn w:val="DefaultParagraphFont"/>
    <w:link w:val="CommentText"/>
    <w:uiPriority w:val="99"/>
    <w:semiHidden/>
    <w:rsid w:val="00D87B2C"/>
    <w:rPr>
      <w:sz w:val="20"/>
      <w:szCs w:val="20"/>
    </w:rPr>
  </w:style>
  <w:style w:type="paragraph" w:styleId="CommentSubject">
    <w:name w:val="annotation subject"/>
    <w:basedOn w:val="CommentText"/>
    <w:next w:val="CommentText"/>
    <w:link w:val="CommentSubjectChar"/>
    <w:uiPriority w:val="99"/>
    <w:semiHidden/>
    <w:unhideWhenUsed/>
    <w:rsid w:val="00D87B2C"/>
    <w:rPr>
      <w:b/>
      <w:bCs/>
    </w:rPr>
  </w:style>
  <w:style w:type="character" w:customStyle="1" w:styleId="CommentSubjectChar">
    <w:name w:val="Comment Subject Char"/>
    <w:basedOn w:val="CommentTextChar"/>
    <w:link w:val="CommentSubject"/>
    <w:uiPriority w:val="99"/>
    <w:semiHidden/>
    <w:rsid w:val="00D87B2C"/>
    <w:rPr>
      <w:b/>
      <w:bCs/>
      <w:sz w:val="20"/>
      <w:szCs w:val="20"/>
    </w:rPr>
  </w:style>
  <w:style w:type="paragraph" w:styleId="BalloonText">
    <w:name w:val="Balloon Text"/>
    <w:basedOn w:val="Normal"/>
    <w:link w:val="BalloonTextChar"/>
    <w:uiPriority w:val="99"/>
    <w:semiHidden/>
    <w:unhideWhenUsed/>
    <w:rsid w:val="00D8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2C"/>
    <w:rPr>
      <w:rFonts w:ascii="Segoe UI" w:hAnsi="Segoe UI" w:cs="Segoe UI"/>
      <w:sz w:val="18"/>
      <w:szCs w:val="18"/>
    </w:rPr>
  </w:style>
  <w:style w:type="paragraph" w:styleId="Revision">
    <w:name w:val="Revision"/>
    <w:hidden/>
    <w:uiPriority w:val="99"/>
    <w:semiHidden/>
    <w:rsid w:val="00CF1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uncil.lancashire.gov.uk/ieListDocuments.aspx?CId=1175&amp;MId=6481&amp;Ve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local-government-scheme/about-the-funds/lancashire-local-pension-bo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084A-F363-4E76-971C-B9535AC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linchpin</dc:creator>
  <cp:lastModifiedBy>Neville, Mike</cp:lastModifiedBy>
  <cp:revision>8</cp:revision>
  <dcterms:created xsi:type="dcterms:W3CDTF">2018-04-27T09:32:00Z</dcterms:created>
  <dcterms:modified xsi:type="dcterms:W3CDTF">2018-05-29T07:58:00Z</dcterms:modified>
</cp:coreProperties>
</file>